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号）及省上相关规定，本会对四川康伦律师事务所提交的《四川康伦律师事务所律师服务收费标准》已审查完毕，相关内容符合相关规定，本会同意备案人的备案申请，该收费标准自备案之日起至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w:t>
      </w:r>
      <w:r>
        <w:rPr>
          <w:rFonts w:hint="eastAsia" w:ascii="Times New Roman" w:hAnsi="Times New Roman" w:eastAsia="仿宋" w:cs="Times New Roman"/>
          <w:sz w:val="32"/>
          <w:szCs w:val="32"/>
        </w:rPr>
        <w:t>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四川康伦律师事务所律师服务收费标准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Autospacing="0" w:afterAutospacing="0" w:line="50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0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0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00" w:lineRule="exact"/>
        <w:ind w:firstLine="643" w:firstLineChars="200"/>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对于上述按件收费情形，可根据案件情况、复杂程度，合理上浮。</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1000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0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万元范围内收取律师服务费，可根据案件情况，合理上浮。</w:t>
      </w:r>
    </w:p>
    <w:p>
      <w:pPr>
        <w:pStyle w:val="6"/>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4%-6%</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3%-5%</w:t>
      </w:r>
      <w:r>
        <w:rPr>
          <w:rFonts w:ascii="Times New Roman" w:hAnsi="仿宋" w:eastAsia="仿宋" w:cs="Times New Roman"/>
          <w:sz w:val="32"/>
          <w:szCs w:val="32"/>
        </w:rPr>
        <w:t>；</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2%-4%;</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9%-18%</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Autospacing="0" w:afterAutospacing="0" w:line="50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0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万元；上述阶段同时由本所律师代理的，可给予优惠；</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6-30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不能采取或变相采取风险代理收费的，参照本标准第二章第二节的规定执行。</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选择计时收费的案件，如涉及涉外（含港、澳、台）案件及重大、疑难、复杂及律师工作量大的民事诉讼、仲裁案件，可以按计时收费标准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倍执行。经委托人同意，也可以由本所参照外国或港、澳、台地区律师事务所驻我国代表机构办理同类法律事务的收费标准，与委托人协商确定收费数额。</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0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0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0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全体律师除前述第三十条、第三十一条涉及案件外，其他案件收费应严格按本收费标准执行，不得以争揽业务为目的，通过减收或免收律师服务费吸引委托人，进行低价的不正当竞争。</w:t>
      </w:r>
    </w:p>
    <w:p>
      <w:pPr>
        <w:widowControl/>
        <w:spacing w:line="500" w:lineRule="exact"/>
        <w:ind w:firstLine="640" w:firstLineChars="200"/>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0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0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rPr>
        <w:t>4</w:t>
      </w:r>
      <w:r>
        <w:rPr>
          <w:rFonts w:ascii="Times New Roman" w:hAnsi="仿宋" w:eastAsia="仿宋" w:cs="Times New Roman"/>
          <w:sz w:val="32"/>
          <w:szCs w:val="32"/>
        </w:rPr>
        <w:t>年</w:t>
      </w:r>
      <w:r>
        <w:rPr>
          <w:rFonts w:hint="eastAsia" w:ascii="Times New Roman" w:hAnsi="Times New Roman" w:eastAsia="仿宋" w:cs="Times New Roman"/>
          <w:sz w:val="32"/>
          <w:szCs w:val="32"/>
        </w:rPr>
        <w:t>4</w:t>
      </w:r>
      <w:r>
        <w:rPr>
          <w:rFonts w:ascii="Times New Roman" w:hAnsi="仿宋" w:eastAsia="仿宋" w:cs="Times New Roman"/>
          <w:sz w:val="32"/>
          <w:szCs w:val="32"/>
        </w:rPr>
        <w:t>月</w:t>
      </w:r>
      <w:r>
        <w:rPr>
          <w:rFonts w:hint="eastAsia"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87B43"/>
    <w:rsid w:val="000A5223"/>
    <w:rsid w:val="00150461"/>
    <w:rsid w:val="00163348"/>
    <w:rsid w:val="001702D6"/>
    <w:rsid w:val="00176683"/>
    <w:rsid w:val="001B2CA9"/>
    <w:rsid w:val="001D239C"/>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5B24C8"/>
    <w:rsid w:val="00677DBB"/>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6C6C3424"/>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685</Words>
  <Characters>3907</Characters>
  <Lines>32</Lines>
  <Paragraphs>9</Paragraphs>
  <TotalTime>474</TotalTime>
  <ScaleCrop>false</ScaleCrop>
  <LinksUpToDate>false</LinksUpToDate>
  <CharactersWithSpaces>4583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2024-09-04T09:17:53Z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