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p>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6</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号）及省上相关规定，本会对四川宗元律师事务所提交的《四川宗元律师事务所律师服务收费标准》已审查完毕，相关内容符合相关规定，本会同意备案人的备案申请，该收费标准自备案之日起至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四川宗元律师事务所律师服务收费标准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hd w:val="clear" w:color="auto" w:fill="FFFFFF"/>
        <w:spacing w:before="0" w:beforeAutospacing="0" w:after="0" w:afterAutospacing="0" w:line="520" w:lineRule="exact"/>
        <w:ind w:firstLine="643" w:firstLineChars="200"/>
        <w:jc w:val="both"/>
        <w:rPr>
          <w:rFonts w:ascii="Times New Roman" w:hAnsi="Times New Roman" w:eastAsia="仿宋" w:cs="Times New Roman"/>
          <w:sz w:val="32"/>
          <w:szCs w:val="32"/>
          <w:shd w:val="clear" w:color="auto" w:fill="FFFFFF"/>
        </w:rPr>
      </w:pPr>
      <w:r>
        <w:rPr>
          <w:rFonts w:ascii="Times New Roman" w:hAnsi="仿宋" w:eastAsia="仿宋" w:cs="Times New Roman"/>
          <w:b/>
          <w:sz w:val="32"/>
          <w:szCs w:val="32"/>
          <w:shd w:val="clear" w:color="auto" w:fill="FFFFFF"/>
        </w:rPr>
        <w:t>第一条</w:t>
      </w:r>
      <w:r>
        <w:rPr>
          <w:rFonts w:ascii="Times New Roman" w:hAnsi="Times New Roman" w:eastAsia="仿宋" w:cs="Times New Roman"/>
          <w:sz w:val="32"/>
          <w:szCs w:val="32"/>
          <w:shd w:val="clear" w:color="auto" w:fill="FFFFFF"/>
        </w:rPr>
        <w:t xml:space="preserve"> </w:t>
      </w:r>
      <w:r>
        <w:rPr>
          <w:rFonts w:ascii="Times New Roman" w:hAnsi="仿宋" w:eastAsia="仿宋" w:cs="Times New Roman"/>
          <w:sz w:val="32"/>
          <w:szCs w:val="32"/>
        </w:rPr>
        <w:t>根据《中华人民共和国律师法》、</w:t>
      </w:r>
      <w:r>
        <w:rPr>
          <w:rStyle w:val="10"/>
          <w:rFonts w:ascii="Times New Roman" w:hAnsi="仿宋" w:eastAsia="仿宋" w:cs="Times New Roman"/>
          <w:b w:val="0"/>
          <w:sz w:val="32"/>
          <w:szCs w:val="32"/>
          <w:shd w:val="clear" w:color="auto" w:fill="FFFFFF"/>
        </w:rPr>
        <w:t>司法部国家发展和改革委员会、国家市场监督管理总局印发《关于进一步规范律师服务收费的意见》的通知</w:t>
      </w:r>
      <w:r>
        <w:rPr>
          <w:rStyle w:val="10"/>
          <w:rFonts w:ascii="Times New Roman" w:hAnsi="Times New Roman" w:eastAsia="仿宋" w:cs="Times New Roman"/>
          <w:b w:val="0"/>
          <w:sz w:val="32"/>
          <w:szCs w:val="32"/>
          <w:shd w:val="clear" w:color="auto" w:fill="FFFFFF"/>
        </w:rPr>
        <w:t>“</w:t>
      </w:r>
      <w:r>
        <w:rPr>
          <w:rFonts w:ascii="Times New Roman" w:hAnsi="仿宋" w:eastAsia="仿宋" w:cs="Times New Roman"/>
          <w:sz w:val="32"/>
          <w:szCs w:val="32"/>
          <w:shd w:val="clear" w:color="auto" w:fill="FFFFFF"/>
        </w:rPr>
        <w:t>司发通〔</w:t>
      </w:r>
      <w:r>
        <w:rPr>
          <w:rFonts w:ascii="Times New Roman" w:hAnsi="Times New Roman" w:eastAsia="仿宋" w:cs="Times New Roman"/>
          <w:sz w:val="32"/>
          <w:szCs w:val="32"/>
          <w:shd w:val="clear" w:color="auto" w:fill="FFFFFF"/>
        </w:rPr>
        <w:t>2021</w:t>
      </w:r>
      <w:r>
        <w:rPr>
          <w:rFonts w:ascii="Times New Roman" w:hAnsi="仿宋" w:eastAsia="仿宋" w:cs="Times New Roman"/>
          <w:sz w:val="32"/>
          <w:szCs w:val="32"/>
          <w:shd w:val="clear" w:color="auto" w:fill="FFFFFF"/>
        </w:rPr>
        <w:t>〕</w:t>
      </w:r>
      <w:r>
        <w:rPr>
          <w:rFonts w:ascii="Times New Roman" w:hAnsi="Times New Roman" w:eastAsia="仿宋" w:cs="Times New Roman"/>
          <w:sz w:val="32"/>
          <w:szCs w:val="32"/>
          <w:shd w:val="clear" w:color="auto" w:fill="FFFFFF"/>
        </w:rPr>
        <w:t>87</w:t>
      </w:r>
      <w:r>
        <w:rPr>
          <w:rFonts w:ascii="Times New Roman" w:hAnsi="仿宋" w:eastAsia="仿宋" w:cs="Times New Roman"/>
          <w:sz w:val="32"/>
          <w:szCs w:val="32"/>
          <w:shd w:val="clear" w:color="auto" w:fill="FFFFFF"/>
        </w:rPr>
        <w:t>号</w:t>
      </w:r>
      <w:r>
        <w:rPr>
          <w:rStyle w:val="10"/>
          <w:rFonts w:ascii="Times New Roman" w:hAnsi="Times New Roman" w:eastAsia="仿宋" w:cs="Times New Roman"/>
          <w:b w:val="0"/>
          <w:sz w:val="32"/>
          <w:szCs w:val="32"/>
          <w:shd w:val="clear" w:color="auto" w:fill="FFFFFF"/>
        </w:rPr>
        <w:t>”</w:t>
      </w:r>
      <w:r>
        <w:rPr>
          <w:rFonts w:ascii="Times New Roman" w:hAnsi="仿宋" w:eastAsia="仿宋" w:cs="Times New Roman"/>
          <w:sz w:val="32"/>
          <w:szCs w:val="32"/>
          <w:shd w:val="clear" w:color="auto" w:fill="FFFFFF"/>
        </w:rPr>
        <w:t>的文件规定并结合德阳市经济发展情况和本所实际，制定本收费标准。</w:t>
      </w:r>
    </w:p>
    <w:p>
      <w:pPr>
        <w:pStyle w:val="6"/>
        <w:shd w:val="clear" w:color="auto" w:fill="FFFFFF"/>
        <w:spacing w:before="0" w:beforeAutospacing="0" w:after="0" w:afterAutospacing="0" w:line="520" w:lineRule="exact"/>
        <w:ind w:firstLine="560"/>
        <w:jc w:val="both"/>
        <w:rPr>
          <w:rFonts w:ascii="Times New Roman" w:hAnsi="Times New Roman" w:eastAsia="仿宋" w:cs="Times New Roman"/>
          <w:sz w:val="32"/>
          <w:szCs w:val="32"/>
          <w:shd w:val="clear" w:color="auto" w:fill="FFFFFF"/>
        </w:rPr>
      </w:pPr>
      <w:r>
        <w:rPr>
          <w:rFonts w:ascii="Times New Roman" w:hAnsi="仿宋" w:eastAsia="仿宋" w:cs="Times New Roman"/>
          <w:b/>
          <w:sz w:val="32"/>
          <w:szCs w:val="32"/>
          <w:shd w:val="clear" w:color="auto" w:fill="FFFFFF"/>
        </w:rPr>
        <w:t>第二条</w:t>
      </w:r>
      <w:r>
        <w:rPr>
          <w:rFonts w:ascii="Times New Roman" w:hAnsi="Times New Roman" w:eastAsia="仿宋" w:cs="Times New Roman"/>
          <w:sz w:val="32"/>
          <w:szCs w:val="32"/>
          <w:shd w:val="clear" w:color="auto" w:fill="FFFFFF"/>
        </w:rPr>
        <w:t xml:space="preserve"> </w:t>
      </w:r>
      <w:r>
        <w:rPr>
          <w:rFonts w:ascii="Times New Roman" w:hAnsi="仿宋" w:eastAsia="仿宋" w:cs="Times New Roman"/>
          <w:sz w:val="32"/>
          <w:szCs w:val="32"/>
          <w:shd w:val="clear" w:color="auto" w:fill="FFFFFF"/>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hd w:val="clear" w:color="auto" w:fill="FFFFFF"/>
        <w:spacing w:before="0" w:beforeAutospacing="0" w:after="0" w:afterAutospacing="0" w:line="520" w:lineRule="exact"/>
        <w:ind w:firstLine="560"/>
        <w:jc w:val="both"/>
        <w:rPr>
          <w:rFonts w:ascii="Times New Roman" w:hAnsi="Times New Roman" w:eastAsia="仿宋" w:cs="Times New Roman"/>
          <w:sz w:val="32"/>
          <w:szCs w:val="32"/>
          <w:shd w:val="clear" w:color="auto" w:fill="FFFFFF"/>
        </w:rPr>
      </w:pPr>
      <w:r>
        <w:rPr>
          <w:rFonts w:ascii="Times New Roman" w:hAnsi="仿宋" w:eastAsia="仿宋" w:cs="Times New Roman"/>
          <w:b/>
          <w:sz w:val="32"/>
          <w:szCs w:val="32"/>
          <w:shd w:val="clear" w:color="auto" w:fill="FFFFFF"/>
        </w:rPr>
        <w:t>第三条</w:t>
      </w:r>
      <w:r>
        <w:rPr>
          <w:rFonts w:ascii="Times New Roman" w:hAnsi="Times New Roman" w:eastAsia="仿宋" w:cs="Times New Roman"/>
          <w:sz w:val="32"/>
          <w:szCs w:val="32"/>
          <w:shd w:val="clear" w:color="auto" w:fill="FFFFFF"/>
        </w:rPr>
        <w:t xml:space="preserve"> </w:t>
      </w:r>
      <w:r>
        <w:rPr>
          <w:rFonts w:ascii="Times New Roman" w:hAnsi="仿宋" w:eastAsia="仿宋" w:cs="Times New Roman"/>
          <w:sz w:val="32"/>
          <w:szCs w:val="32"/>
          <w:shd w:val="clear" w:color="auto" w:fill="FFFFFF"/>
        </w:rPr>
        <w:t>律师服务收费是律师事务所接收委托办理法律事务，向委托人收取服务报酬的行为。</w:t>
      </w:r>
    </w:p>
    <w:p>
      <w:pPr>
        <w:pStyle w:val="6"/>
        <w:shd w:val="clear" w:color="auto" w:fill="FFFFFF"/>
        <w:spacing w:before="0" w:beforeAutospacing="0" w:after="0" w:afterAutospacing="0" w:line="520" w:lineRule="exact"/>
        <w:ind w:firstLine="560"/>
        <w:jc w:val="both"/>
        <w:rPr>
          <w:rFonts w:ascii="Times New Roman" w:hAnsi="Times New Roman" w:eastAsia="仿宋" w:cs="Times New Roman"/>
          <w:sz w:val="32"/>
          <w:szCs w:val="32"/>
          <w:shd w:val="clear" w:color="auto" w:fill="FFFFFF"/>
        </w:rPr>
      </w:pPr>
      <w:r>
        <w:rPr>
          <w:rFonts w:ascii="Times New Roman" w:hAnsi="仿宋" w:eastAsia="仿宋" w:cs="Times New Roman"/>
          <w:sz w:val="32"/>
          <w:szCs w:val="32"/>
          <w:shd w:val="clear" w:color="auto" w:fill="FFFFFF"/>
        </w:rPr>
        <w:t>律师办理委托事务过程中发生的诉讼费、仲裁费、鉴定费、公证费、查档费、保全费、翻译费、异地办案差旅费、跨境通讯费、专家论证费等费用，以及律师事务所代委托人支付的其他费用，不属于律师服务费，由委托人另行支付。</w:t>
      </w:r>
    </w:p>
    <w:p>
      <w:pPr>
        <w:pStyle w:val="6"/>
        <w:numPr>
          <w:ilvl w:val="0"/>
          <w:numId w:val="1"/>
        </w:numPr>
        <w:shd w:val="clear" w:color="auto" w:fill="FFFFFF"/>
        <w:spacing w:before="0" w:beforeAutospacing="0" w:after="0" w:afterAutospacing="0" w:line="520" w:lineRule="exact"/>
        <w:ind w:firstLine="560"/>
        <w:jc w:val="both"/>
        <w:rPr>
          <w:rFonts w:ascii="Times New Roman" w:hAnsi="Times New Roman" w:eastAsia="仿宋" w:cs="Times New Roman"/>
          <w:sz w:val="32"/>
          <w:szCs w:val="32"/>
          <w:shd w:val="clear" w:color="auto" w:fill="FFFFFF"/>
        </w:rPr>
      </w:pPr>
      <w:r>
        <w:rPr>
          <w:rFonts w:ascii="Times New Roman" w:hAnsi="仿宋" w:eastAsia="仿宋" w:cs="Times New Roman"/>
          <w:sz w:val="32"/>
          <w:szCs w:val="32"/>
          <w:shd w:val="clear" w:color="auto" w:fill="FFFFFF"/>
        </w:rPr>
        <w:t>本所就下列委托事项收取律师服务费：</w:t>
      </w:r>
    </w:p>
    <w:p>
      <w:pPr>
        <w:pStyle w:val="6"/>
        <w:numPr>
          <w:ilvl w:val="0"/>
          <w:numId w:val="2"/>
        </w:numPr>
        <w:shd w:val="clear" w:color="auto" w:fill="FFFFFF"/>
        <w:spacing w:before="0" w:beforeAutospacing="0" w:after="0" w:afterAutospacing="0" w:line="520" w:lineRule="exact"/>
        <w:ind w:firstLine="640" w:firstLineChars="200"/>
        <w:jc w:val="both"/>
        <w:rPr>
          <w:rFonts w:ascii="Times New Roman" w:hAnsi="Times New Roman" w:eastAsia="仿宋" w:cs="Times New Roman"/>
          <w:sz w:val="32"/>
          <w:szCs w:val="32"/>
          <w:shd w:val="clear" w:color="auto" w:fill="FFFFFF"/>
        </w:rPr>
      </w:pPr>
      <w:r>
        <w:rPr>
          <w:rFonts w:ascii="Times New Roman" w:hAnsi="仿宋" w:eastAsia="仿宋" w:cs="Times New Roman"/>
          <w:sz w:val="32"/>
          <w:szCs w:val="32"/>
          <w:shd w:val="clear" w:color="auto" w:fill="FFFFFF"/>
        </w:rPr>
        <w:t>代理各类案件担任代理人、辩护人、起草相关法律文书，开展各类专项法律服务，担任法律顾问，接受法律咨询等法律业务。</w:t>
      </w:r>
    </w:p>
    <w:p>
      <w:pPr>
        <w:pStyle w:val="6"/>
        <w:numPr>
          <w:ilvl w:val="0"/>
          <w:numId w:val="2"/>
        </w:numPr>
        <w:shd w:val="clear" w:color="auto" w:fill="FFFFFF"/>
        <w:spacing w:before="0" w:beforeAutospacing="0" w:after="0" w:afterAutospacing="0" w:line="520" w:lineRule="exact"/>
        <w:ind w:firstLine="640" w:firstLineChars="200"/>
        <w:jc w:val="both"/>
        <w:rPr>
          <w:rFonts w:ascii="Times New Roman" w:hAnsi="Times New Roman" w:eastAsia="仿宋" w:cs="Times New Roman"/>
          <w:sz w:val="32"/>
          <w:szCs w:val="32"/>
          <w:shd w:val="clear" w:color="auto" w:fill="FFFFFF"/>
        </w:rPr>
      </w:pPr>
      <w:r>
        <w:rPr>
          <w:rFonts w:ascii="Times New Roman" w:hAnsi="仿宋" w:eastAsia="仿宋" w:cs="Times New Roman"/>
          <w:sz w:val="32"/>
          <w:szCs w:val="32"/>
          <w:shd w:val="clear" w:color="auto" w:fill="FFFFFF"/>
        </w:rPr>
        <w:t>律师从事其它与法律服务及法律培训相关的事务。</w:t>
      </w:r>
    </w:p>
    <w:p>
      <w:pPr>
        <w:pStyle w:val="6"/>
        <w:numPr>
          <w:ilvl w:val="0"/>
          <w:numId w:val="1"/>
        </w:numPr>
        <w:shd w:val="clear" w:color="auto" w:fill="FFFFFF"/>
        <w:spacing w:before="0" w:beforeAutospacing="0" w:after="0" w:afterAutospacing="0" w:line="520" w:lineRule="exact"/>
        <w:ind w:firstLine="560"/>
        <w:jc w:val="both"/>
        <w:rPr>
          <w:rFonts w:ascii="Times New Roman" w:hAnsi="Times New Roman" w:eastAsia="仿宋" w:cs="Times New Roman"/>
          <w:sz w:val="32"/>
          <w:szCs w:val="32"/>
          <w:shd w:val="clear" w:color="auto" w:fill="FFFFFF"/>
        </w:rPr>
      </w:pPr>
      <w:r>
        <w:rPr>
          <w:rFonts w:ascii="Times New Roman" w:hAnsi="仿宋" w:eastAsia="仿宋" w:cs="Times New Roman"/>
          <w:sz w:val="32"/>
          <w:szCs w:val="32"/>
          <w:shd w:val="clear" w:color="auto" w:fill="FFFFFF"/>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hd w:val="clear" w:color="auto" w:fill="FFFFFF"/>
        <w:spacing w:before="0" w:beforeAutospacing="0" w:after="0" w:afterAutospacing="0" w:line="520" w:lineRule="exact"/>
        <w:ind w:firstLine="640" w:firstLineChars="200"/>
        <w:jc w:val="both"/>
        <w:rPr>
          <w:rFonts w:ascii="Times New Roman" w:hAnsi="Times New Roman" w:eastAsia="仿宋" w:cs="Times New Roman"/>
          <w:sz w:val="32"/>
          <w:szCs w:val="32"/>
          <w:shd w:val="clear" w:color="auto" w:fill="FFFFFF"/>
        </w:rPr>
      </w:pPr>
      <w:r>
        <w:rPr>
          <w:rFonts w:ascii="Times New Roman" w:hAnsi="仿宋" w:eastAsia="仿宋" w:cs="Times New Roman"/>
          <w:sz w:val="32"/>
          <w:szCs w:val="32"/>
          <w:shd w:val="clear" w:color="auto" w:fill="FFFFFF"/>
        </w:rPr>
        <w:t>以上收费方式，在同一法律服务办理的不同阶段，可以选择同一种方式，也可选择不同种方式。</w:t>
      </w:r>
    </w:p>
    <w:p>
      <w:pPr>
        <w:pStyle w:val="6"/>
        <w:numPr>
          <w:ilvl w:val="0"/>
          <w:numId w:val="1"/>
        </w:numPr>
        <w:shd w:val="clear" w:color="auto" w:fill="FFFFFF"/>
        <w:spacing w:before="0" w:beforeAutospacing="0" w:after="0" w:afterAutospacing="0" w:line="520" w:lineRule="exact"/>
        <w:ind w:firstLine="560"/>
        <w:jc w:val="both"/>
        <w:rPr>
          <w:rFonts w:ascii="Times New Roman" w:hAnsi="Times New Roman" w:eastAsia="仿宋" w:cs="Times New Roman"/>
          <w:sz w:val="32"/>
          <w:szCs w:val="32"/>
          <w:shd w:val="clear" w:color="auto" w:fill="FFFFFF"/>
        </w:rPr>
      </w:pPr>
      <w:r>
        <w:rPr>
          <w:rFonts w:ascii="Times New Roman" w:hAnsi="仿宋" w:eastAsia="仿宋" w:cs="Times New Roman"/>
          <w:sz w:val="32"/>
          <w:szCs w:val="32"/>
          <w:shd w:val="clear" w:color="auto" w:fill="FFFFFF"/>
        </w:rPr>
        <w:t>律师服务费的收费方式和收费金额，应由律师事务所与委托人签订相应的法律事务委托代理合同进行约定，律师服务费应由律师事务所统一收取、统一入账，律师个人不得向委托人收取律师服务费。确因交通不便及支付方式限制等特殊情况，委托人提出由律师代为收取的，律师应当在代收款项后</w:t>
      </w:r>
      <w:r>
        <w:rPr>
          <w:rFonts w:ascii="Times New Roman" w:hAnsi="Times New Roman" w:eastAsia="仿宋" w:cs="Times New Roman"/>
          <w:sz w:val="32"/>
          <w:szCs w:val="32"/>
          <w:shd w:val="clear" w:color="auto" w:fill="FFFFFF"/>
        </w:rPr>
        <w:t>3</w:t>
      </w:r>
      <w:r>
        <w:rPr>
          <w:rFonts w:ascii="Times New Roman" w:hAnsi="仿宋" w:eastAsia="仿宋" w:cs="Times New Roman"/>
          <w:sz w:val="32"/>
          <w:szCs w:val="32"/>
          <w:shd w:val="clear" w:color="auto" w:fill="FFFFFF"/>
        </w:rPr>
        <w:t>个工作日内将律师服务费转入律师事务所账户。</w:t>
      </w:r>
    </w:p>
    <w:p>
      <w:pPr>
        <w:pStyle w:val="6"/>
        <w:shd w:val="clear" w:color="auto" w:fill="FFFFFF"/>
        <w:spacing w:before="0" w:beforeAutospacing="0" w:after="0" w:afterAutospacing="0" w:line="520" w:lineRule="exact"/>
        <w:ind w:firstLine="640" w:firstLineChars="200"/>
        <w:jc w:val="both"/>
        <w:rPr>
          <w:rFonts w:ascii="Times New Roman" w:hAnsi="Times New Roman" w:eastAsia="仿宋" w:cs="Times New Roman"/>
          <w:sz w:val="32"/>
          <w:szCs w:val="32"/>
          <w:shd w:val="clear" w:color="auto" w:fill="FFFFFF"/>
        </w:rPr>
      </w:pPr>
      <w:r>
        <w:rPr>
          <w:rFonts w:ascii="Times New Roman" w:hAnsi="仿宋" w:eastAsia="仿宋" w:cs="Times New Roman"/>
          <w:sz w:val="32"/>
          <w:szCs w:val="32"/>
          <w:shd w:val="clear" w:color="auto" w:fill="FFFFFF"/>
        </w:rPr>
        <w:t>除律师服务费、代委托人支付的费用、异地办案差旅费、跨境通讯费外，不得以任何名义向委托人收取其他费用。</w:t>
      </w:r>
    </w:p>
    <w:p>
      <w:pPr>
        <w:pStyle w:val="6"/>
        <w:numPr>
          <w:ilvl w:val="0"/>
          <w:numId w:val="1"/>
        </w:numPr>
        <w:shd w:val="clear" w:color="auto" w:fill="FFFFFF"/>
        <w:spacing w:before="0" w:beforeAutospacing="0" w:after="0" w:afterAutospacing="0" w:line="520" w:lineRule="exact"/>
        <w:ind w:firstLine="560"/>
        <w:jc w:val="both"/>
        <w:rPr>
          <w:rFonts w:ascii="Times New Roman" w:hAnsi="Times New Roman" w:eastAsia="仿宋" w:cs="Times New Roman"/>
          <w:sz w:val="32"/>
          <w:szCs w:val="32"/>
          <w:shd w:val="clear" w:color="auto" w:fill="FFFFFF"/>
        </w:rPr>
      </w:pPr>
      <w:r>
        <w:rPr>
          <w:rFonts w:ascii="Times New Roman" w:hAnsi="仿宋" w:eastAsia="仿宋" w:cs="Times New Roman"/>
          <w:sz w:val="32"/>
          <w:szCs w:val="32"/>
          <w:shd w:val="clear" w:color="auto" w:fill="FFFFFF"/>
        </w:rPr>
        <w:t>律师服务费由律师事务所依约定收取并据实开具律师服务费发票，代委托人支付的费用及非包干异地办案差旅费、跨境通讯费应当提供有效凭证。</w:t>
      </w:r>
    </w:p>
    <w:p>
      <w:pPr>
        <w:pStyle w:val="6"/>
        <w:shd w:val="clear" w:color="auto" w:fill="FFFFFF"/>
        <w:spacing w:before="0" w:beforeAutospacing="0" w:after="0" w:afterAutospacing="0" w:line="520" w:lineRule="exact"/>
        <w:jc w:val="center"/>
        <w:rPr>
          <w:rFonts w:ascii="Times New Roman" w:hAnsi="Times New Roman" w:eastAsia="黑体" w:cs="Times New Roman"/>
          <w:bCs/>
          <w:sz w:val="32"/>
          <w:szCs w:val="32"/>
          <w:shd w:val="clear" w:color="auto" w:fill="FFFFFF"/>
        </w:rPr>
      </w:pPr>
      <w:r>
        <w:rPr>
          <w:rFonts w:ascii="Times New Roman" w:hAnsi="黑体" w:eastAsia="黑体" w:cs="Times New Roman"/>
          <w:bCs/>
          <w:sz w:val="32"/>
          <w:szCs w:val="32"/>
          <w:shd w:val="clear" w:color="auto" w:fill="FFFFFF"/>
        </w:rPr>
        <w:t>第二章</w:t>
      </w:r>
      <w:r>
        <w:rPr>
          <w:rFonts w:ascii="Times New Roman" w:hAnsi="Times New Roman" w:eastAsia="黑体" w:cs="Times New Roman"/>
          <w:bCs/>
          <w:sz w:val="32"/>
          <w:szCs w:val="32"/>
          <w:shd w:val="clear" w:color="auto" w:fill="FFFFFF"/>
        </w:rPr>
        <w:t xml:space="preserve"> </w:t>
      </w:r>
      <w:r>
        <w:rPr>
          <w:rFonts w:ascii="Times New Roman" w:hAnsi="黑体" w:eastAsia="黑体" w:cs="Times New Roman"/>
          <w:bCs/>
          <w:sz w:val="32"/>
          <w:szCs w:val="32"/>
          <w:shd w:val="clear" w:color="auto" w:fill="FFFFFF"/>
        </w:rPr>
        <w:t>收费标准</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b/>
          <w:sz w:val="32"/>
          <w:szCs w:val="32"/>
        </w:rPr>
        <w:t>第八条</w:t>
      </w:r>
      <w:r>
        <w:rPr>
          <w:rFonts w:ascii="Times New Roman" w:hAnsi="Times New Roman" w:eastAsia="仿宋" w:cs="Times New Roman"/>
          <w:sz w:val="32"/>
          <w:szCs w:val="32"/>
        </w:rPr>
        <w:t xml:space="preserve"> </w:t>
      </w:r>
      <w:r>
        <w:rPr>
          <w:rFonts w:ascii="Times New Roman" w:hAnsi="仿宋" w:eastAsia="仿宋" w:cs="Times New Roman"/>
          <w:sz w:val="32"/>
          <w:szCs w:val="32"/>
        </w:rPr>
        <w:t>办理刑事诉讼案件实行计件收费，标准如下：</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一</w:t>
      </w:r>
      <w:r>
        <w:rPr>
          <w:rFonts w:ascii="Times New Roman" w:hAnsi="Times New Roman" w:eastAsia="仿宋" w:cs="Times New Roman"/>
          <w:sz w:val="32"/>
          <w:szCs w:val="32"/>
        </w:rPr>
        <w:t>)</w:t>
      </w:r>
      <w:r>
        <w:rPr>
          <w:rFonts w:ascii="Times New Roman" w:hAnsi="仿宋" w:eastAsia="仿宋" w:cs="Times New Roman"/>
          <w:sz w:val="32"/>
          <w:szCs w:val="32"/>
        </w:rPr>
        <w:t>担任刑事案件</w:t>
      </w:r>
      <w:r>
        <w:fldChar w:fldCharType="begin"/>
      </w:r>
      <w:r>
        <w:instrText xml:space="preserve"> HYPERLINK "https://www.66law.cn/special/fzxyr/" \t "https://www.66law.cn/laws/_blank" \o "犯罪嫌疑人" </w:instrText>
      </w:r>
      <w:r>
        <w:fldChar w:fldCharType="separate"/>
      </w:r>
      <w:r>
        <w:rPr>
          <w:rStyle w:val="11"/>
          <w:rFonts w:ascii="Times New Roman" w:hAnsi="仿宋" w:eastAsia="仿宋" w:cs="Times New Roman"/>
          <w:color w:val="auto"/>
          <w:sz w:val="32"/>
          <w:szCs w:val="32"/>
        </w:rPr>
        <w:t>犯罪嫌疑人</w:t>
      </w:r>
      <w:r>
        <w:rPr>
          <w:rStyle w:val="11"/>
          <w:rFonts w:ascii="Times New Roman" w:hAnsi="仿宋" w:eastAsia="仿宋" w:cs="Times New Roman"/>
          <w:color w:val="auto"/>
          <w:sz w:val="32"/>
          <w:szCs w:val="32"/>
        </w:rPr>
        <w:fldChar w:fldCharType="end"/>
      </w:r>
      <w:r>
        <w:rPr>
          <w:rFonts w:ascii="Times New Roman" w:hAnsi="仿宋" w:eastAsia="仿宋" w:cs="Times New Roman"/>
          <w:sz w:val="32"/>
          <w:szCs w:val="32"/>
        </w:rPr>
        <w:t>、被告人的辩护人：</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w:t>
      </w:r>
      <w:r>
        <w:rPr>
          <w:rFonts w:ascii="Times New Roman" w:hAnsi="仿宋" w:eastAsia="仿宋" w:cs="Times New Roman"/>
          <w:sz w:val="32"/>
          <w:szCs w:val="32"/>
        </w:rPr>
        <w:t>含检察院自侦阶段</w:t>
      </w:r>
      <w:r>
        <w:rPr>
          <w:rFonts w:ascii="Times New Roman" w:hAnsi="Times New Roman" w:eastAsia="仿宋" w:cs="Times New Roman"/>
          <w:sz w:val="32"/>
          <w:szCs w:val="32"/>
        </w:rPr>
        <w:t>)</w:t>
      </w:r>
      <w:r>
        <w:rPr>
          <w:rFonts w:ascii="Times New Roman" w:hAnsi="仿宋" w:eastAsia="仿宋" w:cs="Times New Roman"/>
          <w:sz w:val="32"/>
          <w:szCs w:val="32"/>
        </w:rPr>
        <w:t>：</w:t>
      </w:r>
      <w:r>
        <w:rPr>
          <w:rFonts w:ascii="Times New Roman" w:hAnsi="Times New Roman" w:eastAsia="仿宋" w:cs="Times New Roman"/>
          <w:sz w:val="32"/>
          <w:szCs w:val="32"/>
        </w:rPr>
        <w:t>10000-200000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件</w:t>
      </w:r>
      <w:r>
        <w:rPr>
          <w:rFonts w:ascii="Times New Roman" w:hAnsi="Times New Roman" w:eastAsia="仿宋" w:cs="Times New Roman"/>
          <w:sz w:val="32"/>
          <w:szCs w:val="32"/>
        </w:rPr>
        <w:t>;</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10000-200000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件</w:t>
      </w:r>
      <w:r>
        <w:rPr>
          <w:rFonts w:ascii="Times New Roman" w:hAnsi="Times New Roman" w:eastAsia="仿宋" w:cs="Times New Roman"/>
          <w:sz w:val="32"/>
          <w:szCs w:val="32"/>
        </w:rPr>
        <w:t>;</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审判阶段：</w:t>
      </w:r>
      <w:r>
        <w:rPr>
          <w:rFonts w:ascii="Times New Roman" w:hAnsi="Times New Roman" w:eastAsia="仿宋" w:cs="Times New Roman"/>
          <w:sz w:val="32"/>
          <w:szCs w:val="32"/>
        </w:rPr>
        <w:t>10000-300000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刑事服刑犯人的再审、申诉、减刑、假释、保外就医、社区监管、罚金刑的执行、财产没收等代理事务：</w:t>
      </w:r>
      <w:r>
        <w:rPr>
          <w:rFonts w:ascii="Times New Roman" w:hAnsi="Times New Roman" w:eastAsia="仿宋" w:cs="Times New Roman"/>
          <w:sz w:val="32"/>
          <w:szCs w:val="32"/>
        </w:rPr>
        <w:t>10000-200000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二</w:t>
      </w:r>
      <w:r>
        <w:rPr>
          <w:rFonts w:ascii="Times New Roman" w:hAnsi="Times New Roman" w:eastAsia="仿宋" w:cs="Times New Roman"/>
          <w:sz w:val="32"/>
          <w:szCs w:val="32"/>
        </w:rPr>
        <w:t>)</w:t>
      </w: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10000-200000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b/>
          <w:sz w:val="32"/>
          <w:szCs w:val="32"/>
        </w:rPr>
        <w:t>第九条</w:t>
      </w:r>
      <w:r>
        <w:rPr>
          <w:rFonts w:ascii="Times New Roman" w:hAnsi="Times New Roman" w:eastAsia="仿宋" w:cs="Times New Roman"/>
          <w:sz w:val="32"/>
          <w:szCs w:val="32"/>
        </w:rPr>
        <w:t xml:space="preserve"> </w:t>
      </w:r>
      <w:r>
        <w:rPr>
          <w:rFonts w:ascii="Times New Roman" w:hAnsi="仿宋" w:eastAsia="仿宋" w:cs="Times New Roman"/>
          <w:sz w:val="32"/>
          <w:szCs w:val="32"/>
        </w:rPr>
        <w:t>担任民事案件代理人的服务收费标准：</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sz w:val="32"/>
          <w:szCs w:val="32"/>
        </w:rPr>
        <w:t>（一）不涉及财产关系的，实行计件收费，每件收取</w:t>
      </w:r>
      <w:r>
        <w:rPr>
          <w:rFonts w:ascii="Times New Roman" w:hAnsi="Times New Roman" w:eastAsia="仿宋" w:cs="Times New Roman"/>
          <w:sz w:val="32"/>
          <w:szCs w:val="32"/>
        </w:rPr>
        <w:t>5000-100000</w:t>
      </w:r>
      <w:r>
        <w:rPr>
          <w:rFonts w:ascii="Times New Roman" w:hAnsi="仿宋" w:eastAsia="仿宋" w:cs="Times New Roman"/>
          <w:sz w:val="32"/>
          <w:szCs w:val="32"/>
        </w:rPr>
        <w:t>元</w:t>
      </w:r>
      <w:r>
        <w:rPr>
          <w:rFonts w:ascii="Times New Roman" w:hAnsi="Times New Roman" w:eastAsia="仿宋" w:cs="Times New Roman"/>
          <w:sz w:val="32"/>
          <w:szCs w:val="32"/>
        </w:rPr>
        <w:t>;</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二</w:t>
      </w:r>
      <w:r>
        <w:rPr>
          <w:rFonts w:ascii="Times New Roman" w:hAnsi="Times New Roman" w:eastAsia="仿宋" w:cs="Times New Roman"/>
          <w:sz w:val="32"/>
          <w:szCs w:val="32"/>
        </w:rPr>
        <w:t>)</w:t>
      </w:r>
      <w:r>
        <w:rPr>
          <w:rFonts w:ascii="Times New Roman" w:hAnsi="仿宋" w:eastAsia="仿宋" w:cs="Times New Roman"/>
          <w:sz w:val="32"/>
          <w:szCs w:val="32"/>
        </w:rPr>
        <w:t>涉及财产关系的，根据所涉及的标的额，按照下列比例实行收费：</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sz w:val="32"/>
          <w:szCs w:val="32"/>
        </w:rPr>
        <w:t>按照争议财产价值或标的额</w:t>
      </w:r>
      <w:r>
        <w:rPr>
          <w:rFonts w:ascii="Times New Roman" w:hAnsi="Times New Roman" w:eastAsia="仿宋" w:cs="Times New Roman"/>
          <w:sz w:val="32"/>
          <w:szCs w:val="32"/>
        </w:rPr>
        <w:t>1%-15%</w:t>
      </w:r>
      <w:r>
        <w:rPr>
          <w:rFonts w:ascii="Times New Roman" w:hAnsi="仿宋" w:eastAsia="仿宋" w:cs="Times New Roman"/>
          <w:sz w:val="32"/>
          <w:szCs w:val="32"/>
        </w:rPr>
        <w:t>收取代理费，最低不低于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b/>
          <w:sz w:val="32"/>
          <w:szCs w:val="32"/>
        </w:rPr>
        <w:t>第十条</w:t>
      </w:r>
      <w:r>
        <w:rPr>
          <w:rFonts w:ascii="Times New Roman" w:hAnsi="Times New Roman" w:eastAsia="仿宋" w:cs="Times New Roman"/>
          <w:sz w:val="32"/>
          <w:szCs w:val="32"/>
        </w:rPr>
        <w:t xml:space="preserve"> </w:t>
      </w:r>
      <w:r>
        <w:rPr>
          <w:rFonts w:ascii="Times New Roman" w:hAnsi="仿宋" w:eastAsia="仿宋" w:cs="Times New Roman"/>
          <w:sz w:val="32"/>
          <w:szCs w:val="32"/>
        </w:rPr>
        <w:t>担任行政案件代理人的服务收费标准：</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sz w:val="32"/>
          <w:szCs w:val="32"/>
        </w:rPr>
        <w:t>（一）不涉及财产关系的，实行计件收费，每件收取</w:t>
      </w:r>
      <w:r>
        <w:rPr>
          <w:rFonts w:ascii="Times New Roman" w:hAnsi="Times New Roman" w:eastAsia="仿宋" w:cs="Times New Roman"/>
          <w:sz w:val="32"/>
          <w:szCs w:val="32"/>
        </w:rPr>
        <w:t>5000-100000</w:t>
      </w:r>
      <w:r>
        <w:rPr>
          <w:rFonts w:ascii="Times New Roman" w:hAnsi="仿宋" w:eastAsia="仿宋" w:cs="Times New Roman"/>
          <w:sz w:val="32"/>
          <w:szCs w:val="32"/>
        </w:rPr>
        <w:t>元；</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sz w:val="32"/>
          <w:szCs w:val="32"/>
        </w:rPr>
        <w:t>（二）涉及财产关系的，根据所涉及的标的额，按照下列比例实行收费：</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sz w:val="32"/>
          <w:szCs w:val="32"/>
        </w:rPr>
        <w:t>按争议财产价值或标的额</w:t>
      </w:r>
      <w:r>
        <w:rPr>
          <w:rFonts w:ascii="Times New Roman" w:hAnsi="Times New Roman" w:eastAsia="仿宋" w:cs="Times New Roman"/>
          <w:sz w:val="32"/>
          <w:szCs w:val="32"/>
        </w:rPr>
        <w:t>1%-15%</w:t>
      </w:r>
      <w:r>
        <w:rPr>
          <w:rFonts w:ascii="Times New Roman" w:hAnsi="仿宋" w:eastAsia="仿宋" w:cs="Times New Roman"/>
          <w:sz w:val="32"/>
          <w:szCs w:val="32"/>
        </w:rPr>
        <w:t>收取代理费，最低不低于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b/>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w:t>
      </w:r>
      <w:r>
        <w:fldChar w:fldCharType="begin"/>
      </w:r>
      <w:r>
        <w:instrText xml:space="preserve"> HYPERLINK "https://www.66law.cn/special/gjpcbz/" \t "https://www.66law.cn/laws/_blank" \o "国家赔偿" </w:instrText>
      </w:r>
      <w:r>
        <w:fldChar w:fldCharType="separate"/>
      </w:r>
      <w:r>
        <w:rPr>
          <w:rStyle w:val="11"/>
          <w:rFonts w:ascii="Times New Roman" w:hAnsi="仿宋" w:eastAsia="仿宋" w:cs="Times New Roman"/>
          <w:color w:val="auto"/>
          <w:sz w:val="32"/>
          <w:szCs w:val="32"/>
        </w:rPr>
        <w:t>国家赔偿</w:t>
      </w:r>
      <w:r>
        <w:rPr>
          <w:rStyle w:val="11"/>
          <w:rFonts w:ascii="Times New Roman" w:hAnsi="仿宋" w:eastAsia="仿宋" w:cs="Times New Roman"/>
          <w:color w:val="auto"/>
          <w:sz w:val="32"/>
          <w:szCs w:val="32"/>
        </w:rPr>
        <w:fldChar w:fldCharType="end"/>
      </w:r>
      <w:r>
        <w:rPr>
          <w:rFonts w:ascii="Times New Roman" w:hAnsi="仿宋" w:eastAsia="仿宋" w:cs="Times New Roman"/>
          <w:sz w:val="32"/>
          <w:szCs w:val="32"/>
        </w:rPr>
        <w:t>案件实行计件收费或按赔偿比例收费，按件每件收取</w:t>
      </w:r>
      <w:r>
        <w:rPr>
          <w:rFonts w:ascii="Times New Roman" w:hAnsi="Times New Roman" w:eastAsia="仿宋" w:cs="Times New Roman"/>
          <w:sz w:val="32"/>
          <w:szCs w:val="32"/>
        </w:rPr>
        <w:t>5000-100000</w:t>
      </w:r>
      <w:r>
        <w:rPr>
          <w:rFonts w:ascii="Times New Roman" w:hAnsi="仿宋" w:eastAsia="仿宋" w:cs="Times New Roman"/>
          <w:sz w:val="32"/>
          <w:szCs w:val="32"/>
        </w:rPr>
        <w:t>元，按比例收费则按标的额的</w:t>
      </w:r>
      <w:r>
        <w:rPr>
          <w:rFonts w:ascii="Times New Roman" w:hAnsi="Times New Roman" w:eastAsia="仿宋" w:cs="Times New Roman"/>
          <w:sz w:val="32"/>
          <w:szCs w:val="32"/>
        </w:rPr>
        <w:t>5-10%</w:t>
      </w:r>
      <w:r>
        <w:rPr>
          <w:rFonts w:ascii="Times New Roman" w:hAnsi="仿宋" w:eastAsia="仿宋" w:cs="Times New Roman"/>
          <w:sz w:val="32"/>
          <w:szCs w:val="32"/>
        </w:rPr>
        <w:t>收取。</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b/>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涉及财产关系的风险代理</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sz w:val="32"/>
          <w:szCs w:val="32"/>
          <w:shd w:val="clear" w:color="auto" w:fill="FFFFFF"/>
        </w:rPr>
        <w:t>律师事务所与当事人约定风险代理收费的，可以按照固定的金额收费，也可以接照当事人最终实现的债权或者减免的债务金额</w:t>
      </w:r>
      <w:r>
        <w:rPr>
          <w:rFonts w:ascii="Times New Roman" w:hAnsi="Times New Roman" w:eastAsia="仿宋" w:cs="Times New Roman"/>
          <w:sz w:val="32"/>
          <w:szCs w:val="32"/>
          <w:shd w:val="clear" w:color="auto" w:fill="FFFFFF"/>
        </w:rPr>
        <w:t>(</w:t>
      </w:r>
      <w:r>
        <w:rPr>
          <w:rFonts w:ascii="Times New Roman" w:hAnsi="仿宋" w:eastAsia="仿宋" w:cs="Times New Roman"/>
          <w:sz w:val="32"/>
          <w:szCs w:val="32"/>
          <w:shd w:val="clear" w:color="auto" w:fill="FFFFFF"/>
        </w:rPr>
        <w:t>以下简称</w:t>
      </w:r>
      <w:r>
        <w:rPr>
          <w:rFonts w:ascii="Times New Roman" w:hAnsi="Times New Roman" w:eastAsia="仿宋" w:cs="Times New Roman"/>
          <w:sz w:val="32"/>
          <w:szCs w:val="32"/>
          <w:shd w:val="clear" w:color="auto" w:fill="FFFFFF"/>
        </w:rPr>
        <w:t>"</w:t>
      </w:r>
      <w:r>
        <w:rPr>
          <w:rFonts w:ascii="Times New Roman" w:hAnsi="仿宋" w:eastAsia="仿宋" w:cs="Times New Roman"/>
          <w:sz w:val="32"/>
          <w:szCs w:val="32"/>
          <w:shd w:val="clear" w:color="auto" w:fill="FFFFFF"/>
        </w:rPr>
        <w:t>标的额</w:t>
      </w:r>
      <w:r>
        <w:rPr>
          <w:rFonts w:ascii="Times New Roman" w:hAnsi="Times New Roman" w:eastAsia="仿宋" w:cs="Times New Roman"/>
          <w:sz w:val="32"/>
          <w:szCs w:val="32"/>
          <w:shd w:val="clear" w:color="auto" w:fill="FFFFFF"/>
        </w:rPr>
        <w:t>”)</w:t>
      </w:r>
      <w:r>
        <w:rPr>
          <w:rFonts w:ascii="Times New Roman" w:hAnsi="仿宋" w:eastAsia="仿宋" w:cs="Times New Roman"/>
          <w:sz w:val="32"/>
          <w:szCs w:val="32"/>
          <w:shd w:val="clear" w:color="auto" w:fill="FFFFFF"/>
        </w:rPr>
        <w:t>的一定比例收费。律师事务所在风险代理各个环节收取的律师服务费合计最高金额应当符合下列规定：</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sz w:val="32"/>
          <w:szCs w:val="32"/>
          <w:shd w:val="clear" w:color="auto" w:fill="FFFFFF"/>
        </w:rPr>
        <w:t>标的额不足人民币</w:t>
      </w:r>
      <w:r>
        <w:rPr>
          <w:rFonts w:ascii="Times New Roman" w:hAnsi="Times New Roman" w:eastAsia="仿宋" w:cs="Times New Roman"/>
          <w:sz w:val="32"/>
          <w:szCs w:val="32"/>
          <w:shd w:val="clear" w:color="auto" w:fill="FFFFFF"/>
        </w:rPr>
        <w:t>100</w:t>
      </w:r>
      <w:r>
        <w:rPr>
          <w:rFonts w:ascii="Times New Roman" w:hAnsi="仿宋" w:eastAsia="仿宋" w:cs="Times New Roman"/>
          <w:sz w:val="32"/>
          <w:szCs w:val="32"/>
          <w:shd w:val="clear" w:color="auto" w:fill="FFFFFF"/>
        </w:rPr>
        <w:t>万元的部分</w:t>
      </w:r>
      <w:r>
        <w:rPr>
          <w:rFonts w:ascii="Times New Roman" w:hAnsi="Times New Roman" w:eastAsia="仿宋" w:cs="Times New Roman"/>
          <w:sz w:val="32"/>
          <w:szCs w:val="32"/>
          <w:shd w:val="clear" w:color="auto" w:fill="FFFFFF"/>
        </w:rPr>
        <w:t>,</w:t>
      </w:r>
      <w:r>
        <w:rPr>
          <w:rFonts w:ascii="Times New Roman" w:hAnsi="仿宋" w:eastAsia="仿宋" w:cs="Times New Roman"/>
          <w:sz w:val="32"/>
          <w:szCs w:val="32"/>
          <w:shd w:val="clear" w:color="auto" w:fill="FFFFFF"/>
        </w:rPr>
        <w:t>不得超过标的额的</w:t>
      </w:r>
      <w:r>
        <w:rPr>
          <w:rFonts w:ascii="Times New Roman" w:hAnsi="Times New Roman" w:eastAsia="仿宋" w:cs="Times New Roman"/>
          <w:sz w:val="32"/>
          <w:szCs w:val="32"/>
          <w:shd w:val="clear" w:color="auto" w:fill="FFFFFF"/>
        </w:rPr>
        <w:t>18%</w:t>
      </w:r>
      <w:r>
        <w:rPr>
          <w:rFonts w:ascii="Times New Roman" w:hAnsi="仿宋" w:eastAsia="仿宋" w:cs="Times New Roman"/>
          <w:sz w:val="32"/>
          <w:szCs w:val="32"/>
          <w:shd w:val="clear" w:color="auto" w:fill="FFFFFF"/>
        </w:rPr>
        <w:t>，不得低于标的额的</w:t>
      </w:r>
      <w:r>
        <w:rPr>
          <w:rFonts w:ascii="Times New Roman" w:hAnsi="Times New Roman" w:eastAsia="仿宋" w:cs="Times New Roman"/>
          <w:sz w:val="32"/>
          <w:szCs w:val="32"/>
          <w:shd w:val="clear" w:color="auto" w:fill="FFFFFF"/>
        </w:rPr>
        <w:t>10%;</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sz w:val="32"/>
          <w:szCs w:val="32"/>
          <w:shd w:val="clear" w:color="auto" w:fill="FFFFFF"/>
        </w:rPr>
        <w:t>标的额在人民币</w:t>
      </w:r>
      <w:r>
        <w:rPr>
          <w:rFonts w:ascii="Times New Roman" w:hAnsi="Times New Roman" w:eastAsia="仿宋" w:cs="Times New Roman"/>
          <w:sz w:val="32"/>
          <w:szCs w:val="32"/>
          <w:shd w:val="clear" w:color="auto" w:fill="FFFFFF"/>
        </w:rPr>
        <w:t>100</w:t>
      </w:r>
      <w:r>
        <w:rPr>
          <w:rFonts w:ascii="Times New Roman" w:hAnsi="仿宋" w:eastAsia="仿宋" w:cs="Times New Roman"/>
          <w:sz w:val="32"/>
          <w:szCs w:val="32"/>
          <w:shd w:val="clear" w:color="auto" w:fill="FFFFFF"/>
        </w:rPr>
        <w:t>万元以上不足</w:t>
      </w:r>
      <w:r>
        <w:rPr>
          <w:rFonts w:ascii="Times New Roman" w:hAnsi="Times New Roman" w:eastAsia="仿宋" w:cs="Times New Roman"/>
          <w:sz w:val="32"/>
          <w:szCs w:val="32"/>
          <w:shd w:val="clear" w:color="auto" w:fill="FFFFFF"/>
        </w:rPr>
        <w:t>500</w:t>
      </w:r>
      <w:r>
        <w:rPr>
          <w:rFonts w:ascii="Times New Roman" w:hAnsi="仿宋" w:eastAsia="仿宋" w:cs="Times New Roman"/>
          <w:sz w:val="32"/>
          <w:szCs w:val="32"/>
          <w:shd w:val="clear" w:color="auto" w:fill="FFFFFF"/>
        </w:rPr>
        <w:t>万元的部分</w:t>
      </w:r>
      <w:r>
        <w:rPr>
          <w:rFonts w:ascii="Times New Roman" w:hAnsi="Times New Roman" w:eastAsia="仿宋" w:cs="Times New Roman"/>
          <w:sz w:val="32"/>
          <w:szCs w:val="32"/>
          <w:shd w:val="clear" w:color="auto" w:fill="FFFFFF"/>
        </w:rPr>
        <w:t>,</w:t>
      </w:r>
      <w:r>
        <w:rPr>
          <w:rFonts w:ascii="Times New Roman" w:hAnsi="仿宋" w:eastAsia="仿宋" w:cs="Times New Roman"/>
          <w:sz w:val="32"/>
          <w:szCs w:val="32"/>
          <w:shd w:val="clear" w:color="auto" w:fill="FFFFFF"/>
        </w:rPr>
        <w:t>不得超过标的额的</w:t>
      </w:r>
      <w:r>
        <w:rPr>
          <w:rFonts w:ascii="Times New Roman" w:hAnsi="Times New Roman" w:eastAsia="仿宋" w:cs="Times New Roman"/>
          <w:sz w:val="32"/>
          <w:szCs w:val="32"/>
          <w:shd w:val="clear" w:color="auto" w:fill="FFFFFF"/>
        </w:rPr>
        <w:t>15%</w:t>
      </w:r>
      <w:r>
        <w:rPr>
          <w:rFonts w:ascii="Times New Roman" w:hAnsi="仿宋" w:eastAsia="仿宋" w:cs="Times New Roman"/>
          <w:sz w:val="32"/>
          <w:szCs w:val="32"/>
          <w:shd w:val="clear" w:color="auto" w:fill="FFFFFF"/>
        </w:rPr>
        <w:t>不得低于标的额的</w:t>
      </w:r>
      <w:r>
        <w:rPr>
          <w:rFonts w:ascii="Times New Roman" w:hAnsi="Times New Roman" w:eastAsia="仿宋" w:cs="Times New Roman"/>
          <w:sz w:val="32"/>
          <w:szCs w:val="32"/>
          <w:shd w:val="clear" w:color="auto" w:fill="FFFFFF"/>
        </w:rPr>
        <w:t>7%;</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sz w:val="32"/>
          <w:szCs w:val="32"/>
          <w:shd w:val="clear" w:color="auto" w:fill="FFFFFF"/>
        </w:rPr>
        <w:t>标的额在人民币</w:t>
      </w:r>
      <w:r>
        <w:rPr>
          <w:rFonts w:ascii="Times New Roman" w:hAnsi="Times New Roman" w:eastAsia="仿宋" w:cs="Times New Roman"/>
          <w:sz w:val="32"/>
          <w:szCs w:val="32"/>
          <w:shd w:val="clear" w:color="auto" w:fill="FFFFFF"/>
        </w:rPr>
        <w:t>500</w:t>
      </w:r>
      <w:r>
        <w:rPr>
          <w:rFonts w:ascii="Times New Roman" w:hAnsi="仿宋" w:eastAsia="仿宋" w:cs="Times New Roman"/>
          <w:sz w:val="32"/>
          <w:szCs w:val="32"/>
          <w:shd w:val="clear" w:color="auto" w:fill="FFFFFF"/>
        </w:rPr>
        <w:t>万元以上不足</w:t>
      </w:r>
      <w:r>
        <w:rPr>
          <w:rFonts w:ascii="Times New Roman" w:hAnsi="Times New Roman" w:eastAsia="仿宋" w:cs="Times New Roman"/>
          <w:sz w:val="32"/>
          <w:szCs w:val="32"/>
          <w:shd w:val="clear" w:color="auto" w:fill="FFFFFF"/>
        </w:rPr>
        <w:t>1000</w:t>
      </w:r>
      <w:r>
        <w:rPr>
          <w:rFonts w:ascii="Times New Roman" w:hAnsi="仿宋" w:eastAsia="仿宋" w:cs="Times New Roman"/>
          <w:sz w:val="32"/>
          <w:szCs w:val="32"/>
          <w:shd w:val="clear" w:color="auto" w:fill="FFFFFF"/>
        </w:rPr>
        <w:t>万元的部分</w:t>
      </w:r>
      <w:r>
        <w:rPr>
          <w:rFonts w:ascii="Times New Roman" w:hAnsi="Times New Roman" w:eastAsia="仿宋" w:cs="Times New Roman"/>
          <w:sz w:val="32"/>
          <w:szCs w:val="32"/>
          <w:shd w:val="clear" w:color="auto" w:fill="FFFFFF"/>
        </w:rPr>
        <w:t>,</w:t>
      </w:r>
      <w:r>
        <w:rPr>
          <w:rFonts w:ascii="Times New Roman" w:hAnsi="仿宋" w:eastAsia="仿宋" w:cs="Times New Roman"/>
          <w:sz w:val="32"/>
          <w:szCs w:val="32"/>
          <w:shd w:val="clear" w:color="auto" w:fill="FFFFFF"/>
        </w:rPr>
        <w:t>不得超过标的额的</w:t>
      </w:r>
      <w:r>
        <w:rPr>
          <w:rFonts w:ascii="Times New Roman" w:hAnsi="Times New Roman" w:eastAsia="仿宋" w:cs="Times New Roman"/>
          <w:sz w:val="32"/>
          <w:szCs w:val="32"/>
          <w:shd w:val="clear" w:color="auto" w:fill="FFFFFF"/>
        </w:rPr>
        <w:t>12%</w:t>
      </w:r>
      <w:r>
        <w:rPr>
          <w:rFonts w:ascii="Times New Roman" w:hAnsi="仿宋" w:eastAsia="仿宋" w:cs="Times New Roman"/>
          <w:sz w:val="32"/>
          <w:szCs w:val="32"/>
          <w:shd w:val="clear" w:color="auto" w:fill="FFFFFF"/>
        </w:rPr>
        <w:t>，不得低于标的额的</w:t>
      </w:r>
      <w:r>
        <w:rPr>
          <w:rFonts w:ascii="Times New Roman" w:hAnsi="Times New Roman" w:eastAsia="仿宋" w:cs="Times New Roman"/>
          <w:sz w:val="32"/>
          <w:szCs w:val="32"/>
          <w:shd w:val="clear" w:color="auto" w:fill="FFFFFF"/>
        </w:rPr>
        <w:t>4%;</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sz w:val="32"/>
          <w:szCs w:val="32"/>
          <w:shd w:val="clear" w:color="auto" w:fill="FFFFFF"/>
        </w:rPr>
        <w:t>标的额在人民币</w:t>
      </w:r>
      <w:r>
        <w:rPr>
          <w:rFonts w:ascii="Times New Roman" w:hAnsi="Times New Roman" w:eastAsia="仿宋" w:cs="Times New Roman"/>
          <w:sz w:val="32"/>
          <w:szCs w:val="32"/>
          <w:shd w:val="clear" w:color="auto" w:fill="FFFFFF"/>
        </w:rPr>
        <w:t>1000</w:t>
      </w:r>
      <w:r>
        <w:rPr>
          <w:rFonts w:ascii="Times New Roman" w:hAnsi="仿宋" w:eastAsia="仿宋" w:cs="Times New Roman"/>
          <w:sz w:val="32"/>
          <w:szCs w:val="32"/>
          <w:shd w:val="clear" w:color="auto" w:fill="FFFFFF"/>
        </w:rPr>
        <w:t>万元以上不足</w:t>
      </w:r>
      <w:r>
        <w:rPr>
          <w:rFonts w:ascii="Times New Roman" w:hAnsi="Times New Roman" w:eastAsia="仿宋" w:cs="Times New Roman"/>
          <w:sz w:val="32"/>
          <w:szCs w:val="32"/>
          <w:shd w:val="clear" w:color="auto" w:fill="FFFFFF"/>
        </w:rPr>
        <w:t>5000</w:t>
      </w:r>
      <w:r>
        <w:rPr>
          <w:rFonts w:ascii="Times New Roman" w:hAnsi="仿宋" w:eastAsia="仿宋" w:cs="Times New Roman"/>
          <w:sz w:val="32"/>
          <w:szCs w:val="32"/>
          <w:shd w:val="clear" w:color="auto" w:fill="FFFFFF"/>
        </w:rPr>
        <w:t>万元的部分</w:t>
      </w:r>
      <w:r>
        <w:rPr>
          <w:rFonts w:ascii="Times New Roman" w:hAnsi="Times New Roman" w:eastAsia="仿宋" w:cs="Times New Roman"/>
          <w:sz w:val="32"/>
          <w:szCs w:val="32"/>
          <w:shd w:val="clear" w:color="auto" w:fill="FFFFFF"/>
        </w:rPr>
        <w:t>,</w:t>
      </w:r>
      <w:r>
        <w:rPr>
          <w:rFonts w:ascii="Times New Roman" w:hAnsi="仿宋" w:eastAsia="仿宋" w:cs="Times New Roman"/>
          <w:sz w:val="32"/>
          <w:szCs w:val="32"/>
          <w:shd w:val="clear" w:color="auto" w:fill="FFFFFF"/>
        </w:rPr>
        <w:t>不得超过标的额的</w:t>
      </w:r>
      <w:r>
        <w:rPr>
          <w:rFonts w:ascii="Times New Roman" w:hAnsi="Times New Roman" w:eastAsia="仿宋" w:cs="Times New Roman"/>
          <w:sz w:val="32"/>
          <w:szCs w:val="32"/>
          <w:shd w:val="clear" w:color="auto" w:fill="FFFFFF"/>
        </w:rPr>
        <w:t>9%</w:t>
      </w:r>
      <w:r>
        <w:rPr>
          <w:rFonts w:ascii="Times New Roman" w:hAnsi="仿宋" w:eastAsia="仿宋" w:cs="Times New Roman"/>
          <w:sz w:val="32"/>
          <w:szCs w:val="32"/>
          <w:shd w:val="clear" w:color="auto" w:fill="FFFFFF"/>
        </w:rPr>
        <w:t>，不得低于标的额的</w:t>
      </w:r>
      <w:r>
        <w:rPr>
          <w:rFonts w:ascii="Times New Roman" w:hAnsi="Times New Roman" w:eastAsia="仿宋" w:cs="Times New Roman"/>
          <w:sz w:val="32"/>
          <w:szCs w:val="32"/>
          <w:shd w:val="clear" w:color="auto" w:fill="FFFFFF"/>
        </w:rPr>
        <w:t>2%;</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sz w:val="32"/>
          <w:szCs w:val="32"/>
          <w:shd w:val="clear" w:color="auto" w:fill="FFFFFF"/>
        </w:rPr>
        <w:t>标的额在人民币</w:t>
      </w:r>
      <w:r>
        <w:rPr>
          <w:rFonts w:ascii="Times New Roman" w:hAnsi="Times New Roman" w:eastAsia="仿宋" w:cs="Times New Roman"/>
          <w:sz w:val="32"/>
          <w:szCs w:val="32"/>
          <w:shd w:val="clear" w:color="auto" w:fill="FFFFFF"/>
        </w:rPr>
        <w:t>5000</w:t>
      </w:r>
      <w:r>
        <w:rPr>
          <w:rFonts w:ascii="Times New Roman" w:hAnsi="仿宋" w:eastAsia="仿宋" w:cs="Times New Roman"/>
          <w:sz w:val="32"/>
          <w:szCs w:val="32"/>
          <w:shd w:val="clear" w:color="auto" w:fill="FFFFFF"/>
        </w:rPr>
        <w:t>万元以上的部分</w:t>
      </w:r>
      <w:r>
        <w:rPr>
          <w:rFonts w:ascii="Times New Roman" w:hAnsi="Times New Roman" w:eastAsia="仿宋" w:cs="Times New Roman"/>
          <w:sz w:val="32"/>
          <w:szCs w:val="32"/>
          <w:shd w:val="clear" w:color="auto" w:fill="FFFFFF"/>
        </w:rPr>
        <w:t xml:space="preserve">, </w:t>
      </w:r>
      <w:r>
        <w:rPr>
          <w:rFonts w:ascii="Times New Roman" w:hAnsi="仿宋" w:eastAsia="仿宋" w:cs="Times New Roman"/>
          <w:sz w:val="32"/>
          <w:szCs w:val="32"/>
          <w:shd w:val="clear" w:color="auto" w:fill="FFFFFF"/>
        </w:rPr>
        <w:t>不得超过标的额的</w:t>
      </w:r>
      <w:r>
        <w:rPr>
          <w:rFonts w:ascii="Times New Roman" w:hAnsi="Times New Roman" w:eastAsia="仿宋" w:cs="Times New Roman"/>
          <w:sz w:val="32"/>
          <w:szCs w:val="32"/>
          <w:shd w:val="clear" w:color="auto" w:fill="FFFFFF"/>
        </w:rPr>
        <w:t>6%</w:t>
      </w:r>
      <w:r>
        <w:rPr>
          <w:rFonts w:ascii="Times New Roman" w:hAnsi="仿宋" w:eastAsia="仿宋" w:cs="Times New Roman"/>
          <w:sz w:val="32"/>
          <w:szCs w:val="32"/>
          <w:shd w:val="clear" w:color="auto" w:fill="FFFFFF"/>
        </w:rPr>
        <w:t>，不得低于标的额的</w:t>
      </w:r>
      <w:r>
        <w:rPr>
          <w:rFonts w:ascii="Times New Roman" w:hAnsi="Times New Roman" w:eastAsia="仿宋" w:cs="Times New Roman"/>
          <w:sz w:val="32"/>
          <w:szCs w:val="32"/>
          <w:shd w:val="clear" w:color="auto" w:fill="FFFFFF"/>
        </w:rPr>
        <w:t>1%</w:t>
      </w:r>
      <w:r>
        <w:rPr>
          <w:rFonts w:ascii="Times New Roman" w:hAnsi="仿宋" w:eastAsia="仿宋" w:cs="Times New Roman"/>
          <w:sz w:val="32"/>
          <w:szCs w:val="32"/>
          <w:shd w:val="clear" w:color="auto" w:fill="FFFFFF"/>
        </w:rPr>
        <w:t>。</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b/>
          <w:sz w:val="32"/>
          <w:szCs w:val="32"/>
          <w:shd w:val="clear" w:color="auto" w:fill="FFFFFF"/>
        </w:rPr>
        <w:t>第十三条</w:t>
      </w:r>
      <w:r>
        <w:rPr>
          <w:rFonts w:ascii="Times New Roman" w:hAnsi="Times New Roman" w:eastAsia="仿宋" w:cs="Times New Roman"/>
          <w:sz w:val="32"/>
          <w:szCs w:val="32"/>
          <w:shd w:val="clear" w:color="auto" w:fill="FFFFFF"/>
        </w:rPr>
        <w:t xml:space="preserve"> </w:t>
      </w:r>
      <w:r>
        <w:rPr>
          <w:rFonts w:ascii="Times New Roman" w:hAnsi="仿宋" w:eastAsia="仿宋" w:cs="Times New Roman"/>
          <w:sz w:val="32"/>
          <w:szCs w:val="32"/>
          <w:shd w:val="clear" w:color="auto" w:fill="FFFFFF"/>
        </w:rPr>
        <w:t>禁止刑事诉讼案件、行政诉讼案件、国家赔偿案件、群体性诉讼案件、婚姻继承案件</w:t>
      </w:r>
      <w:r>
        <w:rPr>
          <w:rFonts w:ascii="Times New Roman" w:hAnsi="Times New Roman" w:eastAsia="仿宋" w:cs="Times New Roman"/>
          <w:sz w:val="32"/>
          <w:szCs w:val="32"/>
          <w:shd w:val="clear" w:color="auto" w:fill="FFFFFF"/>
        </w:rPr>
        <w:t xml:space="preserve">, </w:t>
      </w:r>
      <w:r>
        <w:rPr>
          <w:rFonts w:ascii="Times New Roman" w:hAnsi="仿宋" w:eastAsia="仿宋" w:cs="Times New Roman"/>
          <w:sz w:val="32"/>
          <w:szCs w:val="32"/>
          <w:shd w:val="clear" w:color="auto" w:fill="FFFFFF"/>
        </w:rPr>
        <w:t>以及请求给予社会保险待遇、最低生活保障待遇、赡养费、抚养费、扶养费、抚恤金、救济金、工伤赔偿、劳动报酬的案件实行或者变相实行风险代理。</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b/>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担任国家机关、各类企事业单位、组织、个人常年法律顾问按年度收费：</w:t>
      </w:r>
      <w:r>
        <w:rPr>
          <w:rFonts w:ascii="Times New Roman" w:hAnsi="Times New Roman" w:eastAsia="仿宋" w:cs="Times New Roman"/>
          <w:sz w:val="32"/>
          <w:szCs w:val="32"/>
        </w:rPr>
        <w:t>10000</w:t>
      </w:r>
      <w:r>
        <w:rPr>
          <w:rFonts w:ascii="Times New Roman" w:hAnsi="仿宋" w:eastAsia="仿宋" w:cs="Times New Roman"/>
          <w:sz w:val="32"/>
          <w:szCs w:val="32"/>
        </w:rPr>
        <w:t>元以上，</w:t>
      </w:r>
      <w:r>
        <w:rPr>
          <w:rFonts w:ascii="Times New Roman" w:hAnsi="Times New Roman" w:eastAsia="仿宋" w:cs="Times New Roman"/>
          <w:sz w:val="32"/>
          <w:szCs w:val="32"/>
        </w:rPr>
        <w:t>3000000</w:t>
      </w:r>
      <w:r>
        <w:rPr>
          <w:rFonts w:ascii="Times New Roman" w:hAnsi="仿宋" w:eastAsia="仿宋" w:cs="Times New Roman"/>
          <w:sz w:val="32"/>
          <w:szCs w:val="32"/>
        </w:rPr>
        <w:t>元以下。</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b/>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前述收费标准，除另有指明外，均指诉讼案件一审阶段的收费标准。单独代理二审、</w:t>
      </w:r>
      <w:r>
        <w:fldChar w:fldCharType="begin"/>
      </w:r>
      <w:r>
        <w:instrText xml:space="preserve"> HYPERLINK "https://www.66law.cn/topic2010/zgysxfh/" \t "https://www.66law.cn/laws/_blank" \o "死刑复核" </w:instrText>
      </w:r>
      <w:r>
        <w:fldChar w:fldCharType="separate"/>
      </w:r>
      <w:r>
        <w:rPr>
          <w:rStyle w:val="11"/>
          <w:rFonts w:ascii="Times New Roman" w:hAnsi="仿宋" w:eastAsia="仿宋" w:cs="Times New Roman"/>
          <w:color w:val="auto"/>
          <w:sz w:val="32"/>
          <w:szCs w:val="32"/>
        </w:rPr>
        <w:t>死刑复核</w:t>
      </w:r>
      <w:r>
        <w:rPr>
          <w:rStyle w:val="11"/>
          <w:rFonts w:ascii="Times New Roman" w:hAnsi="仿宋" w:eastAsia="仿宋" w:cs="Times New Roman"/>
          <w:color w:val="auto"/>
          <w:sz w:val="32"/>
          <w:szCs w:val="32"/>
        </w:rPr>
        <w:fldChar w:fldCharType="end"/>
      </w:r>
      <w:r>
        <w:rPr>
          <w:rFonts w:ascii="Times New Roman" w:hAnsi="仿宋" w:eastAsia="仿宋" w:cs="Times New Roman"/>
          <w:sz w:val="32"/>
          <w:szCs w:val="32"/>
        </w:rPr>
        <w:t>、再审、执行案件的，按照一审阶段收费标准执行。曾代理前一阶段的，后一阶段可以比照前一阶段的收费降低收费，最低不得低于</w:t>
      </w:r>
      <w:r>
        <w:rPr>
          <w:rFonts w:ascii="Times New Roman" w:hAnsi="Times New Roman" w:eastAsia="仿宋" w:cs="Times New Roman"/>
          <w:sz w:val="32"/>
          <w:szCs w:val="32"/>
        </w:rPr>
        <w:t>50%</w:t>
      </w:r>
      <w:r>
        <w:rPr>
          <w:rFonts w:ascii="Times New Roman" w:hAnsi="仿宋" w:eastAsia="仿宋" w:cs="Times New Roman"/>
          <w:sz w:val="32"/>
          <w:szCs w:val="32"/>
        </w:rPr>
        <w:t>。</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b/>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其他各类非诉法律事务或专项法律顾问事务、法律意见书、尽职调查、法律培训、合法性审查、法律风险性评估或论证等，按件收取，每件</w:t>
      </w:r>
      <w:r>
        <w:rPr>
          <w:rFonts w:ascii="Times New Roman" w:hAnsi="Times New Roman" w:eastAsia="仿宋" w:cs="Times New Roman"/>
          <w:sz w:val="32"/>
          <w:szCs w:val="32"/>
        </w:rPr>
        <w:t>5000</w:t>
      </w:r>
      <w:r>
        <w:rPr>
          <w:rFonts w:ascii="Times New Roman" w:hAnsi="仿宋" w:eastAsia="仿宋" w:cs="Times New Roman"/>
          <w:sz w:val="32"/>
          <w:szCs w:val="32"/>
        </w:rPr>
        <w:t>元以上，</w:t>
      </w:r>
      <w:r>
        <w:rPr>
          <w:rFonts w:ascii="Times New Roman" w:hAnsi="Times New Roman" w:eastAsia="仿宋" w:cs="Times New Roman"/>
          <w:sz w:val="32"/>
          <w:szCs w:val="32"/>
        </w:rPr>
        <w:t>1000000</w:t>
      </w:r>
      <w:r>
        <w:rPr>
          <w:rFonts w:ascii="Times New Roman" w:hAnsi="仿宋" w:eastAsia="仿宋" w:cs="Times New Roman"/>
          <w:sz w:val="32"/>
          <w:szCs w:val="32"/>
        </w:rPr>
        <w:t>元以下。</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b/>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sz w:val="32"/>
          <w:szCs w:val="32"/>
        </w:rPr>
        <w:t>代书、起草、审查修改合同或者其他法律文书、律师函、律师见证、代为声明、参加谈判、会议、主持调解等，可按件收取，每件</w:t>
      </w:r>
      <w:r>
        <w:rPr>
          <w:rFonts w:ascii="Times New Roman" w:hAnsi="Times New Roman" w:eastAsia="仿宋" w:cs="Times New Roman"/>
          <w:sz w:val="32"/>
          <w:szCs w:val="32"/>
        </w:rPr>
        <w:t>2000-100000</w:t>
      </w:r>
      <w:r>
        <w:rPr>
          <w:rFonts w:ascii="Times New Roman" w:hAnsi="仿宋" w:eastAsia="仿宋" w:cs="Times New Roman"/>
          <w:sz w:val="32"/>
          <w:szCs w:val="32"/>
        </w:rPr>
        <w:t>元。</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b/>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咨询案件，采取计时收费，计时收费标准为</w:t>
      </w:r>
      <w:r>
        <w:rPr>
          <w:rFonts w:ascii="Times New Roman" w:hAnsi="Times New Roman" w:eastAsia="仿宋" w:cs="Times New Roman"/>
          <w:sz w:val="32"/>
          <w:szCs w:val="32"/>
        </w:rPr>
        <w:t>200</w:t>
      </w:r>
      <w:r>
        <w:rPr>
          <w:rFonts w:ascii="Times New Roman" w:hAnsi="仿宋" w:eastAsia="仿宋" w:cs="Times New Roman"/>
          <w:sz w:val="32"/>
          <w:szCs w:val="32"/>
        </w:rPr>
        <w:t>元</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小时，不足一小时的按一小时计算。</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b/>
          <w:sz w:val="32"/>
          <w:szCs w:val="32"/>
        </w:rPr>
        <w:t>第十九条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收费说明</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sz w:val="32"/>
          <w:szCs w:val="32"/>
        </w:rPr>
        <w:t>（一）刑事案件的犯罪嫌疑人、被告人同时涉及数个</w:t>
      </w:r>
      <w:r>
        <w:fldChar w:fldCharType="begin"/>
      </w:r>
      <w:r>
        <w:instrText xml:space="preserve"> HYPERLINK "https://www.66law.cn/zuiming/" \t "https://www.66law.cn/laws/_blank" \o "罪名" </w:instrText>
      </w:r>
      <w:r>
        <w:fldChar w:fldCharType="separate"/>
      </w:r>
      <w:r>
        <w:rPr>
          <w:rStyle w:val="11"/>
          <w:rFonts w:ascii="Times New Roman" w:hAnsi="仿宋" w:eastAsia="仿宋" w:cs="Times New Roman"/>
          <w:color w:val="auto"/>
          <w:sz w:val="32"/>
          <w:szCs w:val="32"/>
        </w:rPr>
        <w:t>罪名</w:t>
      </w:r>
      <w:r>
        <w:rPr>
          <w:rStyle w:val="11"/>
          <w:rFonts w:ascii="Times New Roman" w:hAnsi="仿宋" w:eastAsia="仿宋" w:cs="Times New Roman"/>
          <w:color w:val="auto"/>
          <w:sz w:val="32"/>
          <w:szCs w:val="32"/>
        </w:rPr>
        <w:fldChar w:fldCharType="end"/>
      </w:r>
      <w:r>
        <w:rPr>
          <w:rFonts w:ascii="Times New Roman" w:hAnsi="仿宋" w:eastAsia="仿宋" w:cs="Times New Roman"/>
          <w:sz w:val="32"/>
          <w:szCs w:val="32"/>
        </w:rPr>
        <w:t>或数起犯罪事实，可按照所涉罪名或犯罪事实分别计件收费。</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sz w:val="32"/>
          <w:szCs w:val="32"/>
        </w:rPr>
        <w:t>（二）案件可采取计时收费，计时收费标准为</w:t>
      </w:r>
      <w:r>
        <w:rPr>
          <w:rFonts w:ascii="Times New Roman" w:hAnsi="Times New Roman" w:eastAsia="仿宋" w:cs="Times New Roman"/>
          <w:sz w:val="32"/>
          <w:szCs w:val="32"/>
        </w:rPr>
        <w:t>500-3000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小时。</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sz w:val="32"/>
          <w:szCs w:val="32"/>
        </w:rPr>
        <w:t>（三）办理异地、重大、疑难、复杂、社会影响较大的刑事诉讼案件，可以在上述收费标准</w:t>
      </w:r>
      <w:r>
        <w:rPr>
          <w:rFonts w:ascii="Times New Roman" w:hAnsi="Times New Roman" w:eastAsia="仿宋" w:cs="Times New Roman"/>
          <w:sz w:val="32"/>
          <w:szCs w:val="32"/>
        </w:rPr>
        <w:t>6</w:t>
      </w:r>
      <w:r>
        <w:rPr>
          <w:rFonts w:ascii="Times New Roman" w:hAnsi="仿宋" w:eastAsia="仿宋" w:cs="Times New Roman"/>
          <w:sz w:val="32"/>
          <w:szCs w:val="32"/>
        </w:rPr>
        <w:t>倍之内（含</w:t>
      </w:r>
      <w:r>
        <w:rPr>
          <w:rFonts w:ascii="Times New Roman" w:hAnsi="Times New Roman" w:eastAsia="仿宋" w:cs="Times New Roman"/>
          <w:sz w:val="32"/>
          <w:szCs w:val="32"/>
        </w:rPr>
        <w:t>6</w:t>
      </w:r>
      <w:r>
        <w:rPr>
          <w:rFonts w:ascii="Times New Roman" w:hAnsi="仿宋" w:eastAsia="仿宋" w:cs="Times New Roman"/>
          <w:sz w:val="32"/>
          <w:szCs w:val="32"/>
        </w:rPr>
        <w:t>倍）协商确定收费标准。</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sz w:val="32"/>
          <w:szCs w:val="32"/>
        </w:rPr>
        <w:t>（四）涉外（含港、澳、台）案件的收费标准，原则上按照本收费标准上浮</w:t>
      </w:r>
      <w:r>
        <w:rPr>
          <w:rFonts w:ascii="Times New Roman" w:hAnsi="Times New Roman" w:eastAsia="仿宋" w:cs="Times New Roman"/>
          <w:sz w:val="32"/>
          <w:szCs w:val="32"/>
        </w:rPr>
        <w:t>200%</w:t>
      </w:r>
      <w:r>
        <w:rPr>
          <w:rFonts w:ascii="Times New Roman" w:hAnsi="仿宋" w:eastAsia="仿宋" w:cs="Times New Roman"/>
          <w:sz w:val="32"/>
          <w:szCs w:val="32"/>
        </w:rPr>
        <w:t>执行。经委托人同意，也可以由本所参照外国或港、澳、台地区律师事务所驻我国代表机构办理同类法律事务的收费标准，与委托人协商确定收费数额。</w:t>
      </w:r>
    </w:p>
    <w:p>
      <w:pPr>
        <w:pStyle w:val="6"/>
        <w:spacing w:before="0" w:beforeAutospacing="0" w:after="0" w:afterAutospacing="0" w:line="520" w:lineRule="exact"/>
        <w:ind w:firstLine="560"/>
        <w:rPr>
          <w:rFonts w:ascii="Times New Roman" w:hAnsi="Times New Roman" w:eastAsia="仿宋" w:cs="Times New Roman"/>
          <w:sz w:val="32"/>
          <w:szCs w:val="32"/>
        </w:rPr>
      </w:pPr>
      <w:r>
        <w:rPr>
          <w:rFonts w:ascii="Times New Roman" w:hAnsi="仿宋" w:eastAsia="仿宋" w:cs="Times New Roman"/>
          <w:sz w:val="32"/>
          <w:szCs w:val="32"/>
        </w:rPr>
        <w:t>（五）其他收费方式和收费金额根据委托事项的实际情况，由律师与委托人协商一致，由律师事务所与委托人在律师服务收费合同或在委托人代理合同中确定，但不得违法国家、省相关文件的规定。</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spacing w:before="0" w:beforeAutospacing="0" w:after="0" w:afterAutospacing="0" w:line="520" w:lineRule="exact"/>
        <w:ind w:firstLine="562"/>
        <w:jc w:val="both"/>
        <w:rPr>
          <w:rFonts w:ascii="Times New Roman" w:hAnsi="Times New Roman" w:eastAsia="仿宋" w:cs="Times New Roman"/>
          <w:sz w:val="32"/>
          <w:szCs w:val="32"/>
        </w:rPr>
      </w:pPr>
      <w:r>
        <w:rPr>
          <w:rFonts w:ascii="Times New Roman" w:hAnsi="仿宋" w:eastAsia="仿宋" w:cs="Times New Roman"/>
          <w:b/>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民事诉讼、行政诉讼案件分为一审、二审、执行、申请再审、申请抗诉阶段等诉讼程序。</w:t>
      </w:r>
    </w:p>
    <w:p>
      <w:pPr>
        <w:pStyle w:val="6"/>
        <w:spacing w:before="0" w:beforeAutospacing="0" w:after="0" w:afterAutospacing="0" w:line="520" w:lineRule="exact"/>
        <w:ind w:firstLine="562"/>
        <w:jc w:val="both"/>
        <w:rPr>
          <w:rFonts w:ascii="Times New Roman" w:hAnsi="Times New Roman" w:eastAsia="仿宋" w:cs="Times New Roman"/>
          <w:sz w:val="32"/>
          <w:szCs w:val="32"/>
        </w:rPr>
      </w:pPr>
      <w:r>
        <w:rPr>
          <w:rFonts w:ascii="Times New Roman" w:hAnsi="仿宋" w:eastAsia="仿宋" w:cs="Times New Roman"/>
          <w:sz w:val="32"/>
          <w:szCs w:val="32"/>
        </w:rPr>
        <w:t>申请国家赔偿案件分为申请赔偿阶段、申请复议阶段等诉讼程序。</w:t>
      </w:r>
    </w:p>
    <w:p>
      <w:pPr>
        <w:pStyle w:val="6"/>
        <w:spacing w:before="0" w:beforeAutospacing="0" w:after="0" w:afterAutospacing="0" w:line="520" w:lineRule="exact"/>
        <w:ind w:firstLine="562"/>
        <w:jc w:val="both"/>
        <w:rPr>
          <w:rFonts w:ascii="Times New Roman" w:hAnsi="Times New Roman" w:eastAsia="仿宋" w:cs="Times New Roman"/>
          <w:sz w:val="32"/>
          <w:szCs w:val="32"/>
        </w:rPr>
      </w:pPr>
      <w:r>
        <w:rPr>
          <w:rFonts w:ascii="Times New Roman" w:hAnsi="仿宋" w:eastAsia="仿宋" w:cs="Times New Roman"/>
          <w:sz w:val="32"/>
          <w:szCs w:val="32"/>
        </w:rPr>
        <w:t>刑事案件分为侦查阶段、审查起诉阶段、一审、二审、申请再审阶段、申诉阶段等诉讼程序。</w:t>
      </w:r>
    </w:p>
    <w:p>
      <w:pPr>
        <w:pStyle w:val="6"/>
        <w:spacing w:before="0" w:beforeAutospacing="0" w:after="0" w:afterAutospacing="0" w:line="520" w:lineRule="exact"/>
        <w:ind w:firstLine="562"/>
        <w:jc w:val="both"/>
        <w:rPr>
          <w:rFonts w:ascii="Times New Roman" w:hAnsi="Times New Roman" w:eastAsia="仿宋" w:cs="Times New Roman"/>
          <w:sz w:val="32"/>
          <w:szCs w:val="32"/>
        </w:rPr>
      </w:pPr>
      <w:r>
        <w:rPr>
          <w:rFonts w:ascii="Times New Roman" w:hAnsi="仿宋" w:eastAsia="仿宋" w:cs="Times New Roman"/>
          <w:b/>
          <w:sz w:val="32"/>
          <w:szCs w:val="32"/>
        </w:rPr>
        <w:t>第二十一条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委托代理合同中载明收费条款。收费合同或收费条款应当包括收费项目、收费标准、收费方式、收费数额或比例、付款时间和结算方式、争议解决方式等内容。</w:t>
      </w:r>
    </w:p>
    <w:p>
      <w:pPr>
        <w:pStyle w:val="6"/>
        <w:spacing w:before="0" w:beforeAutospacing="0" w:after="0" w:afterAutospacing="0" w:line="520" w:lineRule="exact"/>
        <w:ind w:firstLine="562"/>
        <w:jc w:val="both"/>
        <w:rPr>
          <w:rFonts w:ascii="Times New Roman" w:hAnsi="Times New Roman" w:eastAsia="仿宋" w:cs="Times New Roman"/>
          <w:sz w:val="32"/>
          <w:szCs w:val="32"/>
        </w:rPr>
      </w:pPr>
      <w:r>
        <w:rPr>
          <w:rFonts w:ascii="Times New Roman" w:hAnsi="仿宋" w:eastAsia="仿宋" w:cs="Times New Roman"/>
          <w:b/>
          <w:sz w:val="32"/>
          <w:szCs w:val="32"/>
        </w:rPr>
        <w:t>第二十二条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对办理涉及农民工、残疾人等弱势群体或者与公益活动有关的法律服务事项，可以酌情减免律师费。</w:t>
      </w:r>
    </w:p>
    <w:p>
      <w:pPr>
        <w:pStyle w:val="6"/>
        <w:spacing w:before="0" w:beforeAutospacing="0" w:after="0" w:afterAutospacing="0" w:line="520" w:lineRule="exact"/>
        <w:ind w:firstLine="562"/>
        <w:jc w:val="both"/>
        <w:rPr>
          <w:rFonts w:ascii="Times New Roman" w:hAnsi="Times New Roman" w:eastAsia="仿宋" w:cs="Times New Roman"/>
          <w:sz w:val="32"/>
          <w:szCs w:val="32"/>
        </w:rPr>
      </w:pPr>
      <w:r>
        <w:rPr>
          <w:rFonts w:ascii="Times New Roman" w:hAnsi="仿宋" w:eastAsia="仿宋" w:cs="Times New Roman"/>
          <w:b/>
          <w:sz w:val="32"/>
          <w:szCs w:val="32"/>
        </w:rPr>
        <w:t>第二十三条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pStyle w:val="6"/>
        <w:spacing w:before="0" w:beforeAutospacing="0" w:after="0" w:afterAutospacing="0" w:line="520" w:lineRule="exact"/>
        <w:ind w:firstLine="562"/>
        <w:jc w:val="both"/>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pStyle w:val="6"/>
        <w:shd w:val="clear" w:color="auto" w:fill="FFFFFF"/>
        <w:spacing w:before="0" w:beforeAutospacing="0" w:after="0" w:afterAutospacing="0" w:line="520" w:lineRule="exact"/>
        <w:ind w:firstLine="643" w:firstLineChars="200"/>
        <w:jc w:val="both"/>
        <w:rPr>
          <w:rFonts w:ascii="Times New Roman" w:hAnsi="Times New Roman" w:eastAsia="仿宋" w:cs="Times New Roman"/>
          <w:sz w:val="32"/>
          <w:szCs w:val="32"/>
          <w:shd w:val="clear" w:color="auto" w:fill="FFFFFF"/>
        </w:rPr>
      </w:pPr>
      <w:r>
        <w:rPr>
          <w:rFonts w:ascii="Times New Roman" w:hAnsi="仿宋" w:eastAsia="仿宋" w:cs="Times New Roman"/>
          <w:b/>
          <w:sz w:val="32"/>
          <w:szCs w:val="32"/>
          <w:shd w:val="clear" w:color="auto" w:fill="FFFFFF"/>
        </w:rPr>
        <w:t>第二十四条</w:t>
      </w:r>
      <w:r>
        <w:rPr>
          <w:rFonts w:ascii="Times New Roman" w:hAnsi="Times New Roman" w:eastAsia="仿宋" w:cs="Times New Roman"/>
          <w:sz w:val="32"/>
          <w:szCs w:val="32"/>
          <w:shd w:val="clear" w:color="auto" w:fill="FFFFFF"/>
        </w:rPr>
        <w:t xml:space="preserve"> </w:t>
      </w:r>
      <w:r>
        <w:rPr>
          <w:rFonts w:ascii="Times New Roman" w:hAnsi="仿宋" w:eastAsia="仿宋" w:cs="Times New Roman"/>
          <w:sz w:val="32"/>
          <w:szCs w:val="32"/>
          <w:shd w:val="clear" w:color="auto" w:fill="FFFFFF"/>
        </w:rPr>
        <w:t>本收费标准应当按照相关规定予以备案，并在所内以公开方式公布已备案的律师服务费收费标准，律师事务所全体律师严格遵照执行，并接受社会监督。</w:t>
      </w:r>
    </w:p>
    <w:p>
      <w:pPr>
        <w:pStyle w:val="6"/>
        <w:shd w:val="clear" w:color="auto" w:fill="FFFFFF"/>
        <w:spacing w:before="0" w:beforeAutospacing="0" w:after="0" w:afterAutospacing="0" w:line="520" w:lineRule="exact"/>
        <w:ind w:firstLine="643" w:firstLineChars="200"/>
        <w:jc w:val="both"/>
        <w:rPr>
          <w:rFonts w:ascii="Times New Roman" w:hAnsi="Times New Roman" w:eastAsia="仿宋" w:cs="Times New Roman"/>
          <w:sz w:val="32"/>
          <w:szCs w:val="32"/>
          <w:shd w:val="clear" w:color="auto" w:fill="FFFFFF"/>
        </w:rPr>
      </w:pPr>
      <w:r>
        <w:rPr>
          <w:rFonts w:ascii="Times New Roman" w:hAnsi="仿宋" w:eastAsia="仿宋" w:cs="Times New Roman"/>
          <w:b/>
          <w:sz w:val="32"/>
          <w:szCs w:val="32"/>
          <w:shd w:val="clear" w:color="auto" w:fill="FFFFFF"/>
        </w:rPr>
        <w:t>第二十五条</w:t>
      </w:r>
      <w:r>
        <w:rPr>
          <w:rFonts w:ascii="Times New Roman" w:hAnsi="Times New Roman" w:eastAsia="仿宋" w:cs="Times New Roman"/>
          <w:sz w:val="32"/>
          <w:szCs w:val="32"/>
          <w:shd w:val="clear" w:color="auto" w:fill="FFFFFF"/>
        </w:rPr>
        <w:t xml:space="preserve"> </w:t>
      </w:r>
      <w:r>
        <w:rPr>
          <w:rFonts w:ascii="Times New Roman" w:hAnsi="仿宋" w:eastAsia="仿宋" w:cs="Times New Roman"/>
          <w:sz w:val="32"/>
          <w:szCs w:val="32"/>
          <w:shd w:val="clear" w:color="auto" w:fill="FFFFFF"/>
        </w:rPr>
        <w:t>本律师服务收费项目、收费方式、收费标准等由本律师事务所制定并报德阳市律师协会备案，本收费标准按照规定在德阳市律师协会同意备案后生效。</w:t>
      </w:r>
    </w:p>
    <w:p>
      <w:pPr>
        <w:pStyle w:val="6"/>
        <w:shd w:val="clear" w:color="auto" w:fill="FFFFFF"/>
        <w:spacing w:before="0" w:beforeAutospacing="0" w:after="0" w:afterAutospacing="0" w:line="520" w:lineRule="exact"/>
        <w:ind w:firstLine="643" w:firstLineChars="200"/>
        <w:jc w:val="both"/>
        <w:rPr>
          <w:rFonts w:ascii="Times New Roman" w:hAnsi="Times New Roman" w:eastAsia="仿宋" w:cs="Times New Roman"/>
          <w:sz w:val="32"/>
          <w:szCs w:val="32"/>
          <w:shd w:val="clear" w:color="auto" w:fill="FFFFFF"/>
        </w:rPr>
      </w:pPr>
      <w:r>
        <w:rPr>
          <w:rFonts w:ascii="Times New Roman" w:hAnsi="仿宋" w:eastAsia="仿宋" w:cs="Times New Roman"/>
          <w:b/>
          <w:sz w:val="32"/>
          <w:szCs w:val="32"/>
          <w:shd w:val="clear" w:color="auto" w:fill="FFFFFF"/>
        </w:rPr>
        <w:t>第二十六条</w:t>
      </w:r>
      <w:r>
        <w:rPr>
          <w:rFonts w:ascii="Times New Roman" w:hAnsi="Times New Roman" w:eastAsia="仿宋" w:cs="Times New Roman"/>
          <w:sz w:val="32"/>
          <w:szCs w:val="32"/>
          <w:shd w:val="clear" w:color="auto" w:fill="FFFFFF"/>
        </w:rPr>
        <w:t xml:space="preserve"> </w:t>
      </w:r>
      <w:r>
        <w:rPr>
          <w:rFonts w:ascii="Times New Roman" w:hAnsi="仿宋" w:eastAsia="仿宋" w:cs="Times New Roman"/>
          <w:sz w:val="32"/>
          <w:szCs w:val="32"/>
          <w:shd w:val="clear" w:color="auto" w:fill="FFFFFF"/>
        </w:rPr>
        <w:t>本收费标准有效期以德阳律师协会备案确定为准。</w:t>
      </w: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Times New Roman" w:hAnsi="Times New Roman" w:eastAsia="仿宋" w:cs="Times New Roman"/>
          <w:sz w:val="32"/>
          <w:szCs w:val="32"/>
        </w:rPr>
      </w:pPr>
    </w:p>
    <w:p>
      <w:pPr>
        <w:spacing w:line="520" w:lineRule="exact"/>
        <w:ind w:right="64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B1BA6"/>
    <w:multiLevelType w:val="singleLevel"/>
    <w:tmpl w:val="DF4B1BA6"/>
    <w:lvl w:ilvl="0" w:tentative="0">
      <w:start w:val="4"/>
      <w:numFmt w:val="chineseCounting"/>
      <w:suff w:val="space"/>
      <w:lvlText w:val="第%1条"/>
      <w:lvlJc w:val="left"/>
      <w:rPr>
        <w:rFonts w:hint="eastAsia"/>
        <w:b/>
      </w:rPr>
    </w:lvl>
  </w:abstractNum>
  <w:abstractNum w:abstractNumId="1">
    <w:nsid w:val="38C5238C"/>
    <w:multiLevelType w:val="singleLevel"/>
    <w:tmpl w:val="38C5238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0023C"/>
    <w:rsid w:val="00002B4F"/>
    <w:rsid w:val="00060B2C"/>
    <w:rsid w:val="00086D6F"/>
    <w:rsid w:val="000A5223"/>
    <w:rsid w:val="000D3447"/>
    <w:rsid w:val="000E696C"/>
    <w:rsid w:val="00150461"/>
    <w:rsid w:val="00163348"/>
    <w:rsid w:val="001702D6"/>
    <w:rsid w:val="00176683"/>
    <w:rsid w:val="001B2CA9"/>
    <w:rsid w:val="001B2FF3"/>
    <w:rsid w:val="002644D8"/>
    <w:rsid w:val="0026763C"/>
    <w:rsid w:val="00287CA0"/>
    <w:rsid w:val="002A379D"/>
    <w:rsid w:val="002A714E"/>
    <w:rsid w:val="002A728B"/>
    <w:rsid w:val="002B3F3D"/>
    <w:rsid w:val="002B64F3"/>
    <w:rsid w:val="002B66A4"/>
    <w:rsid w:val="002E0982"/>
    <w:rsid w:val="002F185A"/>
    <w:rsid w:val="002F49BF"/>
    <w:rsid w:val="003517FF"/>
    <w:rsid w:val="003B4A86"/>
    <w:rsid w:val="00404C3D"/>
    <w:rsid w:val="004128C2"/>
    <w:rsid w:val="00461A26"/>
    <w:rsid w:val="004C268B"/>
    <w:rsid w:val="004D1463"/>
    <w:rsid w:val="004D1774"/>
    <w:rsid w:val="004D70C4"/>
    <w:rsid w:val="005245C8"/>
    <w:rsid w:val="00557E26"/>
    <w:rsid w:val="00567584"/>
    <w:rsid w:val="005B5C11"/>
    <w:rsid w:val="00632536"/>
    <w:rsid w:val="00677DBB"/>
    <w:rsid w:val="006C311F"/>
    <w:rsid w:val="006C6CD7"/>
    <w:rsid w:val="006D3EAD"/>
    <w:rsid w:val="006D6BB3"/>
    <w:rsid w:val="00751D1A"/>
    <w:rsid w:val="007752D3"/>
    <w:rsid w:val="007B2EEE"/>
    <w:rsid w:val="007D09B9"/>
    <w:rsid w:val="007F1639"/>
    <w:rsid w:val="008542A3"/>
    <w:rsid w:val="00892619"/>
    <w:rsid w:val="008C65AC"/>
    <w:rsid w:val="008E0218"/>
    <w:rsid w:val="00912D78"/>
    <w:rsid w:val="00915DD7"/>
    <w:rsid w:val="009928C2"/>
    <w:rsid w:val="009B0D09"/>
    <w:rsid w:val="009B2BF1"/>
    <w:rsid w:val="009C08AA"/>
    <w:rsid w:val="009F1E81"/>
    <w:rsid w:val="00A40DB8"/>
    <w:rsid w:val="00A5775E"/>
    <w:rsid w:val="00A75AA1"/>
    <w:rsid w:val="00B60636"/>
    <w:rsid w:val="00B718AA"/>
    <w:rsid w:val="00BB26EC"/>
    <w:rsid w:val="00BC7358"/>
    <w:rsid w:val="00BF6BC4"/>
    <w:rsid w:val="00C20858"/>
    <w:rsid w:val="00C31312"/>
    <w:rsid w:val="00C34262"/>
    <w:rsid w:val="00C42A1D"/>
    <w:rsid w:val="00C85EF4"/>
    <w:rsid w:val="00CB26F6"/>
    <w:rsid w:val="00CE1660"/>
    <w:rsid w:val="00D0276C"/>
    <w:rsid w:val="00D23FC9"/>
    <w:rsid w:val="00D246FF"/>
    <w:rsid w:val="00D40349"/>
    <w:rsid w:val="00D75F0F"/>
    <w:rsid w:val="00D94AA5"/>
    <w:rsid w:val="00DC11B8"/>
    <w:rsid w:val="00E02452"/>
    <w:rsid w:val="00E53727"/>
    <w:rsid w:val="00E63A95"/>
    <w:rsid w:val="00E64635"/>
    <w:rsid w:val="00E7708B"/>
    <w:rsid w:val="00EA5D3A"/>
    <w:rsid w:val="00EF32BA"/>
    <w:rsid w:val="00F434FF"/>
    <w:rsid w:val="00F45035"/>
    <w:rsid w:val="00F51DFA"/>
    <w:rsid w:val="00F618B6"/>
    <w:rsid w:val="00F73074"/>
    <w:rsid w:val="00FB0721"/>
    <w:rsid w:val="00FE2E7F"/>
    <w:rsid w:val="396664A7"/>
    <w:rsid w:val="53992205"/>
    <w:rsid w:val="56BA7C62"/>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autoRedefine/>
    <w:qFormat/>
    <w:uiPriority w:val="0"/>
    <w:pPr>
      <w:ind w:left="100" w:leftChars="2500"/>
    </w:pPr>
  </w:style>
  <w:style w:type="paragraph" w:styleId="3">
    <w:name w:val="Balloon Text"/>
    <w:basedOn w:val="1"/>
    <w:link w:val="14"/>
    <w:autoRedefine/>
    <w:qFormat/>
    <w:uiPriority w:val="0"/>
    <w:rPr>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character" w:customStyle="1" w:styleId="12">
    <w:name w:val="页眉 Char"/>
    <w:basedOn w:val="9"/>
    <w:link w:val="5"/>
    <w:uiPriority w:val="0"/>
    <w:rPr>
      <w:kern w:val="2"/>
      <w:sz w:val="18"/>
      <w:szCs w:val="18"/>
    </w:rPr>
  </w:style>
  <w:style w:type="character" w:customStyle="1" w:styleId="13">
    <w:name w:val="页脚 Char"/>
    <w:basedOn w:val="9"/>
    <w:link w:val="4"/>
    <w:uiPriority w:val="0"/>
    <w:rPr>
      <w:kern w:val="2"/>
      <w:sz w:val="18"/>
      <w:szCs w:val="18"/>
    </w:rPr>
  </w:style>
  <w:style w:type="character" w:customStyle="1" w:styleId="14">
    <w:name w:val="批注框文本 Char"/>
    <w:basedOn w:val="9"/>
    <w:link w:val="3"/>
    <w:autoRedefine/>
    <w:qFormat/>
    <w:uiPriority w:val="0"/>
    <w:rPr>
      <w:kern w:val="2"/>
      <w:sz w:val="18"/>
      <w:szCs w:val="18"/>
    </w:rPr>
  </w:style>
  <w:style w:type="character" w:customStyle="1" w:styleId="15">
    <w:name w:val="日期 Char"/>
    <w:basedOn w:val="9"/>
    <w:link w:val="2"/>
    <w:autoRedefine/>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F9C8A4-F411-4D2F-BEFA-1DBB98D559E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585</Words>
  <Characters>3341</Characters>
  <Lines>27</Lines>
  <Paragraphs>7</Paragraphs>
  <TotalTime>636</TotalTime>
  <ScaleCrop>false</ScaleCrop>
  <LinksUpToDate>false</LinksUpToDate>
  <CharactersWithSpaces>3919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2024-09-04T09:14:59Z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