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仿宋" w:hAnsi="仿宋" w:eastAsia="仿宋" w:cs="方正小标宋简体"/>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hint="eastAsia" w:ascii="仿宋" w:hAnsi="仿宋" w:eastAsia="仿宋" w:cs="方正小标宋简体"/>
          <w:sz w:val="32"/>
          <w:szCs w:val="32"/>
        </w:rPr>
        <w:t xml:space="preserve">     </w:t>
      </w:r>
      <w:r>
        <w:rPr>
          <w:rFonts w:ascii="Times New Roman" w:hAnsi="Times New Roman" w:eastAsia="仿宋" w:cs="Times New Roman"/>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16</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号）及省上相关规定，本会对四川聚道律师事务所提交的《四川聚道律师事务所律师服务收费标准》已审查完毕，相关内容符合相关规定，本会同意备案人的备案申请，该收费标准自备案之日起至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四川聚道律师事务所律师服务收费标准</w:t>
      </w:r>
    </w:p>
    <w:p>
      <w:pPr>
        <w:pStyle w:val="6"/>
        <w:spacing w:beforeAutospacing="0" w:afterAutospacing="0" w:line="56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pPr>
        <w:pStyle w:val="6"/>
        <w:numPr>
          <w:ilvl w:val="0"/>
          <w:numId w:val="1"/>
        </w:numPr>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pStyle w:val="6"/>
        <w:numPr>
          <w:ilvl w:val="0"/>
          <w:numId w:val="1"/>
        </w:numPr>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委托方为常年法律顾问单位或长期合作单位可酌情降低收费标准，下浮比例不超过</w:t>
      </w:r>
      <w:r>
        <w:rPr>
          <w:rFonts w:ascii="Times New Roman" w:hAnsi="Times New Roman" w:eastAsia="仿宋" w:cs="Times New Roman"/>
          <w:kern w:val="2"/>
          <w:sz w:val="32"/>
          <w:szCs w:val="32"/>
        </w:rPr>
        <w:t>50%</w:t>
      </w:r>
      <w:r>
        <w:rPr>
          <w:rFonts w:ascii="Times New Roman" w:hAnsi="仿宋" w:eastAsia="仿宋" w:cs="Times New Roman"/>
          <w:kern w:val="2"/>
          <w:sz w:val="32"/>
          <w:szCs w:val="32"/>
        </w:rPr>
        <w:t>；参与比选、投标、竞争性谈判可酌情降低报价，下浮比例不超过</w:t>
      </w:r>
      <w:r>
        <w:rPr>
          <w:rFonts w:ascii="Times New Roman" w:hAnsi="Times New Roman" w:eastAsia="仿宋" w:cs="Times New Roman"/>
          <w:kern w:val="2"/>
          <w:sz w:val="32"/>
          <w:szCs w:val="32"/>
        </w:rPr>
        <w:t>50%</w:t>
      </w:r>
      <w:r>
        <w:rPr>
          <w:rFonts w:ascii="Times New Roman" w:hAnsi="仿宋" w:eastAsia="仿宋" w:cs="Times New Roman"/>
          <w:kern w:val="2"/>
          <w:sz w:val="32"/>
          <w:szCs w:val="32"/>
        </w:rPr>
        <w:t>。</w:t>
      </w:r>
    </w:p>
    <w:p>
      <w:pPr>
        <w:pStyle w:val="6"/>
        <w:spacing w:before="0" w:beforeAutospacing="0" w:after="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3</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3%-10%</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2%-7%</w:t>
      </w:r>
      <w:r>
        <w:rPr>
          <w:rFonts w:ascii="Times New Roman" w:hAnsi="仿宋"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1.5%-5%;</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的优惠。同时代理本诉、本请求和反诉、反请求案件的，反诉、反请求按标的额以民事诉讼案件一审阶段的收费标准酌减收费，下浮比例不超过</w:t>
      </w:r>
      <w:r>
        <w:rPr>
          <w:rFonts w:ascii="Times New Roman" w:hAnsi="Times New Roman" w:eastAsia="仿宋" w:cs="Times New Roman"/>
          <w:sz w:val="32"/>
          <w:szCs w:val="32"/>
        </w:rPr>
        <w:t>50%</w:t>
      </w:r>
      <w:r>
        <w:rPr>
          <w:rFonts w:ascii="Times New Roman" w:hAnsi="仿宋" w:eastAsia="仿宋" w:cs="Times New Roman"/>
          <w:sz w:val="32"/>
          <w:szCs w:val="32"/>
        </w:rPr>
        <w:t>。</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30%-50%</w:t>
      </w:r>
      <w:r>
        <w:rPr>
          <w:rFonts w:ascii="Times New Roman" w:hAnsi="仿宋" w:eastAsia="仿宋" w:cs="Times New Roman"/>
          <w:sz w:val="32"/>
          <w:szCs w:val="32"/>
        </w:rPr>
        <w:t>收费，代理执行案件也可采用风险代理或计时收费，不能采取风险代理的案件除外。</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5%-18%</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4%-15%</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3%-12%</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2%-9%</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1%-6%</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0" w:beforeAutospacing="0" w:after="0" w:afterAutospacing="0" w:line="520" w:lineRule="exact"/>
        <w:ind w:firstLine="643" w:firstLineChars="200"/>
        <w:rPr>
          <w:rFonts w:ascii="Times New Roman" w:hAnsi="Times New Roman" w:eastAsia="仿宋" w:cs="Times New Roman"/>
          <w:kern w:val="2"/>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pPr>
        <w:pStyle w:val="6"/>
        <w:adjustRightInd w:val="0"/>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-9</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-9</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kern w:val="0"/>
          <w:sz w:val="32"/>
          <w:szCs w:val="32"/>
        </w:rPr>
        <w:t>2</w:t>
      </w:r>
      <w:r>
        <w:rPr>
          <w:rFonts w:ascii="Times New Roman" w:hAnsi="仿宋" w:eastAsia="仿宋" w:cs="Times New Roman"/>
          <w:kern w:val="0"/>
          <w:sz w:val="32"/>
          <w:szCs w:val="32"/>
        </w:rPr>
        <w:t>万元</w:t>
      </w:r>
      <w:r>
        <w:rPr>
          <w:rFonts w:ascii="Times New Roman" w:hAnsi="Times New Roman" w:eastAsia="仿宋" w:cs="Times New Roman"/>
          <w:kern w:val="0"/>
          <w:sz w:val="32"/>
          <w:szCs w:val="32"/>
        </w:rPr>
        <w:t>-6</w:t>
      </w:r>
      <w:r>
        <w:rPr>
          <w:rFonts w:ascii="Times New Roman" w:hAnsi="仿宋" w:eastAsia="仿宋" w:cs="Times New Roman"/>
          <w:kern w:val="0"/>
          <w:sz w:val="32"/>
          <w:szCs w:val="32"/>
        </w:rPr>
        <w:t>万元</w:t>
      </w:r>
      <w:r>
        <w:rPr>
          <w:rFonts w:ascii="Times New Roman" w:hAnsi="Times New Roman" w:eastAsia="仿宋" w:cs="Times New Roman"/>
          <w:kern w:val="0"/>
          <w:sz w:val="32"/>
          <w:szCs w:val="32"/>
        </w:rPr>
        <w:t>/</w:t>
      </w:r>
      <w:r>
        <w:rPr>
          <w:rFonts w:ascii="Times New Roman" w:hAnsi="仿宋" w:eastAsia="仿宋" w:cs="Times New Roman"/>
          <w:kern w:val="0"/>
          <w:sz w:val="32"/>
          <w:szCs w:val="32"/>
        </w:rPr>
        <w:t>件</w:t>
      </w:r>
      <w:r>
        <w:rPr>
          <w:rFonts w:ascii="Times New Roman" w:hAnsi="仿宋"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-9</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kern w:val="0"/>
          <w:sz w:val="32"/>
          <w:szCs w:val="32"/>
        </w:rPr>
        <w:t>1</w:t>
      </w:r>
      <w:r>
        <w:rPr>
          <w:rFonts w:ascii="Times New Roman" w:hAnsi="仿宋" w:eastAsia="仿宋" w:cs="Times New Roman"/>
          <w:kern w:val="0"/>
          <w:sz w:val="32"/>
          <w:szCs w:val="32"/>
        </w:rPr>
        <w:t>万元</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万元</w:t>
      </w:r>
      <w:r>
        <w:rPr>
          <w:rFonts w:ascii="Times New Roman" w:hAnsi="Times New Roman" w:eastAsia="仿宋" w:cs="Times New Roman"/>
          <w:kern w:val="0"/>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第十九条中的（二）至（六）项，不能采取或变相采取风险代理收费的参照本标准中民事诉讼收费标准予以收取。</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代理国家赔偿案件可实行计件收费，每件收费不低于</w:t>
      </w:r>
      <w:r>
        <w:rPr>
          <w:rFonts w:ascii="Times New Roman" w:hAnsi="Times New Roman" w:eastAsia="仿宋" w:cs="Times New Roman"/>
          <w:sz w:val="32"/>
          <w:szCs w:val="32"/>
        </w:rPr>
        <w:t>5000</w:t>
      </w:r>
      <w:r>
        <w:rPr>
          <w:rFonts w:ascii="Times New Roman" w:hAnsi="仿宋" w:eastAsia="仿宋" w:cs="Times New Roman"/>
          <w:sz w:val="32"/>
          <w:szCs w:val="32"/>
        </w:rPr>
        <w:t>元，最高不超过</w:t>
      </w:r>
      <w:r>
        <w:rPr>
          <w:rFonts w:ascii="Times New Roman" w:hAnsi="Times New Roman" w:eastAsia="仿宋" w:cs="Times New Roman"/>
          <w:sz w:val="32"/>
          <w:szCs w:val="32"/>
        </w:rPr>
        <w:t>20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100%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倍收费。下列案件为重大、疑难、复杂民事诉讼、仲裁案件：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倍收费，亦可按本收费标准进行风险代理或者计时收费。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pPr>
        <w:spacing w:line="520" w:lineRule="exact"/>
        <w:ind w:firstLine="643" w:firstLineChars="200"/>
        <w:jc w:val="left"/>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pPr>
        <w:pStyle w:val="6"/>
        <w:adjustRightInd w:val="0"/>
        <w:spacing w:before="0" w:beforeAutospacing="0" w:after="0" w:afterAutospacing="0" w:line="520" w:lineRule="exact"/>
        <w:ind w:firstLine="643" w:firstLineChars="200"/>
        <w:rPr>
          <w:rFonts w:ascii="Times New Roman" w:hAnsi="Times New Roman" w:eastAsia="仿宋" w:cs="Times New Roman"/>
          <w:b/>
          <w:bCs/>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pPr>
        <w:spacing w:line="520" w:lineRule="exact"/>
        <w:ind w:firstLine="640" w:firstLineChars="200"/>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p>
    <w:p>
      <w:pPr>
        <w:spacing w:line="520" w:lineRule="exact"/>
        <w:rPr>
          <w:rFonts w:ascii="Times New Roman" w:hAnsi="Times New Roman" w:eastAsia="仿宋" w:cs="Times New Roman"/>
          <w:sz w:val="28"/>
          <w:szCs w:val="36"/>
        </w:rPr>
      </w:pPr>
    </w:p>
    <w:p>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bookmarkStart w:id="0" w:name="_GoBack"/>
      <w:bookmarkEnd w:id="0"/>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firstLine="5120" w:firstLineChars="1600"/>
        <w:rPr>
          <w:rFonts w:ascii="Times New Roman" w:hAnsi="Times New Roman" w:eastAsia="仿宋" w:cs="Times New Roman"/>
          <w:sz w:val="32"/>
          <w:szCs w:val="32"/>
        </w:rPr>
      </w:pPr>
    </w:p>
    <w:p>
      <w:pPr>
        <w:spacing w:line="520" w:lineRule="exact"/>
        <w:ind w:right="640"/>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24AC"/>
    <w:multiLevelType w:val="singleLevel"/>
    <w:tmpl w:val="FFF724AC"/>
    <w:lvl w:ilvl="0" w:tentative="0">
      <w:start w:val="7"/>
      <w:numFmt w:val="chineseCounting"/>
      <w:suff w:val="space"/>
      <w:lvlText w:val="第%1条"/>
      <w:lvlJc w:val="left"/>
      <w:rPr>
        <w:rFonts w:hint="eastAsia"/>
        <w:b/>
        <w:bCs/>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150461"/>
    <w:rsid w:val="00163348"/>
    <w:rsid w:val="001702D6"/>
    <w:rsid w:val="001738A7"/>
    <w:rsid w:val="00176683"/>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C268B"/>
    <w:rsid w:val="004D1774"/>
    <w:rsid w:val="004D70C4"/>
    <w:rsid w:val="005245C8"/>
    <w:rsid w:val="00557E26"/>
    <w:rsid w:val="00567584"/>
    <w:rsid w:val="00677DBB"/>
    <w:rsid w:val="006C311F"/>
    <w:rsid w:val="006C6CD7"/>
    <w:rsid w:val="006D6BB3"/>
    <w:rsid w:val="00751D1A"/>
    <w:rsid w:val="007752D3"/>
    <w:rsid w:val="007B2EEE"/>
    <w:rsid w:val="007D09B9"/>
    <w:rsid w:val="008542A3"/>
    <w:rsid w:val="00892619"/>
    <w:rsid w:val="008C65AC"/>
    <w:rsid w:val="00912D78"/>
    <w:rsid w:val="00915DD7"/>
    <w:rsid w:val="0094566E"/>
    <w:rsid w:val="009928C2"/>
    <w:rsid w:val="009B0D09"/>
    <w:rsid w:val="009B2BF1"/>
    <w:rsid w:val="009C08AA"/>
    <w:rsid w:val="00A40DB8"/>
    <w:rsid w:val="00A5775E"/>
    <w:rsid w:val="00A75AA1"/>
    <w:rsid w:val="00B52292"/>
    <w:rsid w:val="00B718AA"/>
    <w:rsid w:val="00BB26EC"/>
    <w:rsid w:val="00BF6BC4"/>
    <w:rsid w:val="00C31312"/>
    <w:rsid w:val="00C42A1D"/>
    <w:rsid w:val="00CB26F6"/>
    <w:rsid w:val="00CE1660"/>
    <w:rsid w:val="00D0276C"/>
    <w:rsid w:val="00D23FC9"/>
    <w:rsid w:val="00D246FF"/>
    <w:rsid w:val="00D40349"/>
    <w:rsid w:val="00D94AA5"/>
    <w:rsid w:val="00DC11B8"/>
    <w:rsid w:val="00E53727"/>
    <w:rsid w:val="00E64635"/>
    <w:rsid w:val="00E7708B"/>
    <w:rsid w:val="00E95C3D"/>
    <w:rsid w:val="00EA5D3A"/>
    <w:rsid w:val="00EF32BA"/>
    <w:rsid w:val="00F618B6"/>
    <w:rsid w:val="00F73074"/>
    <w:rsid w:val="00FB0721"/>
    <w:rsid w:val="00FD3708"/>
    <w:rsid w:val="00FE2E7F"/>
    <w:rsid w:val="00FF543F"/>
    <w:rsid w:val="396664A7"/>
    <w:rsid w:val="53992205"/>
    <w:rsid w:val="5CBF615D"/>
    <w:rsid w:val="5E7CB07C"/>
    <w:rsid w:val="634E17CF"/>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756</Words>
  <Characters>4311</Characters>
  <Lines>35</Lines>
  <Paragraphs>10</Paragraphs>
  <TotalTime>476</TotalTime>
  <ScaleCrop>false</ScaleCrop>
  <LinksUpToDate>false</LinksUpToDate>
  <CharactersWithSpaces>5057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2024-09-04T08:40:08Z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