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22</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号）及省上相关规定，本会对四川公达信律师事务所提交的《四川公达信律师事务所律师服务收费标准》已审查完毕，相关内容符合相关规定，本会同意备案人的备案申请，该收费标准自备案之日起至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四川公达信律师事务所律师服务收费标准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律师服务费是律师事务所接受委托办理法律事务，向委托人收取服务报酬的行为。</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numPr>
          <w:ilvl w:val="0"/>
          <w:numId w:val="1"/>
        </w:num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本所就下列委托事项收取律师服务费：</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代理各类案件担任代理人、辩护人，起草相关法律文书，开展各类专项法律服务，担任法律顾问，接受法律咨询等法律业务。</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律师从事其它与法律服务及法律培训相关的事务。</w:t>
      </w:r>
    </w:p>
    <w:p>
      <w:pPr>
        <w:numPr>
          <w:ilvl w:val="0"/>
          <w:numId w:val="1"/>
        </w:num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律师服务收费按政府指导价</w:t>
      </w:r>
      <w:r>
        <w:rPr>
          <w:rFonts w:ascii="Times New Roman" w:hAnsi="Times New Roman" w:eastAsia="仿宋" w:cs="Times New Roman"/>
          <w:sz w:val="32"/>
          <w:szCs w:val="32"/>
        </w:rPr>
        <w:t>(</w:t>
      </w:r>
      <w:r>
        <w:rPr>
          <w:rFonts w:ascii="Times New Roman" w:hAnsi="仿宋" w:eastAsia="仿宋" w:cs="Times New Roman"/>
          <w:sz w:val="32"/>
          <w:szCs w:val="32"/>
        </w:rPr>
        <w:t>如有</w:t>
      </w:r>
      <w:r>
        <w:rPr>
          <w:rFonts w:ascii="Times New Roman" w:hAnsi="Times New Roman" w:eastAsia="仿宋" w:cs="Times New Roman"/>
          <w:sz w:val="32"/>
          <w:szCs w:val="32"/>
        </w:rPr>
        <w:t>)</w:t>
      </w:r>
      <w:r>
        <w:rPr>
          <w:rFonts w:ascii="Times New Roman" w:hAnsi="仿宋" w:eastAsia="仿宋" w:cs="Times New Roman"/>
          <w:sz w:val="32"/>
          <w:szCs w:val="32"/>
        </w:rPr>
        <w:t>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以上收费方式，在同一法律服务办理的不同阶段，可以选择同一种方式，也可以选择不同种方式。</w:t>
      </w:r>
    </w:p>
    <w:p>
      <w:pPr>
        <w:numPr>
          <w:ilvl w:val="0"/>
          <w:numId w:val="1"/>
        </w:num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sz w:val="32"/>
          <w:szCs w:val="32"/>
        </w:rPr>
        <w:t>3</w:t>
      </w:r>
      <w:r>
        <w:rPr>
          <w:rFonts w:ascii="Times New Roman" w:hAnsi="仿宋" w:eastAsia="仿宋" w:cs="Times New Roman"/>
          <w:sz w:val="32"/>
          <w:szCs w:val="32"/>
        </w:rPr>
        <w:t>个工作日内将律师服务费全额转入律师事务所账户。</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除律师服务费、代委托人支付的费用、异地办案差旅费外，不得以任何名义向委托人收取其他费用。</w:t>
      </w:r>
    </w:p>
    <w:p>
      <w:pPr>
        <w:numPr>
          <w:ilvl w:val="0"/>
          <w:numId w:val="1"/>
        </w:num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律师服务费由律师事务所依约定收取并据实开具律师服务费发票，代委托人支付的费用及非包干异地办案差旅费应当提供有效凭证。</w:t>
      </w:r>
    </w:p>
    <w:p>
      <w:pPr>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spacing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numPr>
          <w:ilvl w:val="0"/>
          <w:numId w:val="1"/>
        </w:num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sz w:val="32"/>
          <w:szCs w:val="32"/>
        </w:rPr>
        <w:t xml:space="preserve"> </w:t>
      </w:r>
      <w:r>
        <w:rPr>
          <w:rFonts w:ascii="Times New Roman" w:hAnsi="仿宋" w:eastAsia="仿宋" w:cs="Times New Roman"/>
          <w:sz w:val="32"/>
          <w:szCs w:val="32"/>
        </w:rPr>
        <w:t>选择计件收费的，原则上按下列标准范围与委托人商定：</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代书、起草、审查修改合同或者其他法律文书、律师函、律师见证、代为声明、参加谈判、会议、主持调解等，可按件收费，每件</w:t>
      </w:r>
      <w:r>
        <w:rPr>
          <w:rFonts w:ascii="Times New Roman" w:hAnsi="Times New Roman" w:eastAsia="仿宋" w:cs="Times New Roman"/>
          <w:sz w:val="32"/>
          <w:szCs w:val="32"/>
        </w:rPr>
        <w:t>5000</w:t>
      </w:r>
      <w:r>
        <w:rPr>
          <w:rFonts w:ascii="Times New Roman" w:hAnsi="仿宋" w:eastAsia="仿宋" w:cs="Times New Roman"/>
          <w:sz w:val="32"/>
          <w:szCs w:val="32"/>
        </w:rPr>
        <w:t>元</w:t>
      </w:r>
      <w:r>
        <w:rPr>
          <w:rFonts w:ascii="Times New Roman" w:hAnsi="Times New Roman" w:eastAsia="仿宋" w:cs="Times New Roman"/>
          <w:sz w:val="32"/>
          <w:szCs w:val="32"/>
        </w:rPr>
        <w:t>—15</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—60</w:t>
      </w:r>
      <w:r>
        <w:rPr>
          <w:rFonts w:ascii="Times New Roman" w:hAnsi="仿宋" w:eastAsia="仿宋" w:cs="Times New Roman"/>
          <w:sz w:val="32"/>
          <w:szCs w:val="32"/>
        </w:rPr>
        <w:t>万元。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立法调研、起草或者修改法律法规、规范性文件、课题调研、清理规范性文件等，可按件收费，每件</w:t>
      </w:r>
      <w:r>
        <w:rPr>
          <w:rFonts w:ascii="Times New Roman" w:hAnsi="Times New Roman" w:eastAsia="仿宋" w:cs="Times New Roman"/>
          <w:sz w:val="32"/>
          <w:szCs w:val="32"/>
        </w:rPr>
        <w:t>10</w:t>
      </w:r>
      <w:r>
        <w:rPr>
          <w:rFonts w:ascii="Times New Roman" w:hAnsi="仿宋" w:eastAsia="仿宋" w:cs="Times New Roman"/>
          <w:sz w:val="32"/>
          <w:szCs w:val="32"/>
        </w:rPr>
        <w:t>万</w:t>
      </w:r>
      <w:r>
        <w:rPr>
          <w:rFonts w:ascii="Times New Roman" w:hAnsi="Times New Roman" w:eastAsia="仿宋" w:cs="Times New Roman"/>
          <w:sz w:val="32"/>
          <w:szCs w:val="32"/>
        </w:rPr>
        <w:t>—70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计费工作时间是律师办理委托事项的有效工作时间，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不涉及财产关系的法律事项选择按诉讼程序分阶段收费的，每个阶段在</w:t>
      </w:r>
      <w:r>
        <w:rPr>
          <w:rFonts w:ascii="Times New Roman" w:hAnsi="Times New Roman" w:eastAsia="仿宋" w:cs="Times New Roman"/>
          <w:sz w:val="32"/>
          <w:szCs w:val="32"/>
        </w:rPr>
        <w:t>1</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spacing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10%-15%</w:t>
      </w:r>
      <w:r>
        <w:rPr>
          <w:rFonts w:ascii="Times New Roman" w:hAnsi="仿宋" w:eastAsia="仿宋" w:cs="Times New Roman"/>
          <w:sz w:val="32"/>
          <w:szCs w:val="32"/>
        </w:rPr>
        <w:t>，最低不少于</w:t>
      </w:r>
      <w:r>
        <w:rPr>
          <w:rFonts w:ascii="Times New Roman" w:hAnsi="Times New Roman" w:eastAsia="仿宋" w:cs="Times New Roman"/>
          <w:sz w:val="32"/>
          <w:szCs w:val="32"/>
        </w:rPr>
        <w:t>10000</w:t>
      </w:r>
      <w:r>
        <w:rPr>
          <w:rFonts w:ascii="Times New Roman" w:hAnsi="仿宋" w:eastAsia="仿宋" w:cs="Times New Roman"/>
          <w:sz w:val="32"/>
          <w:szCs w:val="32"/>
        </w:rPr>
        <w:t>元；</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5%-10%</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r>
        <w:rPr>
          <w:rFonts w:ascii="Times New Roman" w:hAnsi="仿宋" w:eastAsia="仿宋" w:cs="Times New Roman"/>
          <w:sz w:val="32"/>
          <w:szCs w:val="32"/>
        </w:rPr>
        <w:t>；</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2%-3%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第二审及以后阶段的，可以给予比照第一阶段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的优惠。同时代理本诉、本请求和反诉、反请求案件的，反诉、反请求按标的额以民事诉讼案件一审阶段的收费标准酌减收费，除收取本诉的代理费外，反诉部分按照不超过本诉标准的</w:t>
      </w:r>
      <w:r>
        <w:rPr>
          <w:rFonts w:ascii="Times New Roman" w:hAnsi="Times New Roman" w:eastAsia="仿宋" w:cs="Times New Roman"/>
          <w:sz w:val="32"/>
          <w:szCs w:val="32"/>
        </w:rPr>
        <w:t>50%</w:t>
      </w:r>
      <w:r>
        <w:rPr>
          <w:rFonts w:ascii="Times New Roman" w:hAnsi="仿宋" w:eastAsia="仿宋" w:cs="Times New Roman"/>
          <w:sz w:val="32"/>
          <w:szCs w:val="32"/>
        </w:rPr>
        <w:t>收取代理费。</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第十四条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第十五条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单独承办的执行案件，根据执行标的额，按一审阶段标准收费；曾承办一审或二审的案件，可按一审阶段收费标准优惠</w:t>
      </w:r>
      <w:r>
        <w:rPr>
          <w:rFonts w:ascii="Times New Roman" w:hAnsi="Times New Roman" w:eastAsia="仿宋" w:cs="Times New Roman"/>
          <w:kern w:val="2"/>
          <w:sz w:val="32"/>
          <w:szCs w:val="32"/>
        </w:rPr>
        <w:t>30%-50%</w:t>
      </w:r>
      <w:r>
        <w:rPr>
          <w:rFonts w:ascii="Times New Roman" w:hAnsi="仿宋" w:eastAsia="仿宋" w:cs="Times New Roman"/>
          <w:kern w:val="2"/>
          <w:sz w:val="32"/>
          <w:szCs w:val="32"/>
        </w:rPr>
        <w:t>收费，代理执行案件也可采用风险代理或计时收费，不能采用风险代理的案件除外。</w:t>
      </w:r>
    </w:p>
    <w:p>
      <w:pPr>
        <w:spacing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风险代理各个环节、各阶段（如一审阶段、二审阶段、再审阶段或申诉阶段、执行阶段）收取的律师服务费合计最高金额应当符合下列标准：</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10%-18%</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 xml:space="preserve"> 10%-15%</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8%-12%</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6%-9%</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w:t>
      </w:r>
      <w:r>
        <w:rPr>
          <w:rFonts w:ascii="Times New Roman" w:hAnsi="仿宋" w:eastAsia="仿宋" w:cs="Times New Roman"/>
          <w:sz w:val="32"/>
          <w:szCs w:val="32"/>
        </w:rPr>
        <w:t>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5%-6%</w:t>
      </w:r>
      <w:r>
        <w:rPr>
          <w:rFonts w:ascii="Times New Roman" w:hAnsi="仿宋" w:eastAsia="仿宋" w:cs="Times New Roman"/>
          <w:sz w:val="32"/>
          <w:szCs w:val="32"/>
        </w:rPr>
        <w:t>计算。</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p>
    <w:p>
      <w:pPr>
        <w:spacing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一</w:t>
      </w:r>
      <w:r>
        <w:rPr>
          <w:rFonts w:ascii="Times New Roman" w:hAnsi="Times New Roman" w:eastAsia="仿宋" w:cs="Times New Roman"/>
          <w:sz w:val="32"/>
          <w:szCs w:val="32"/>
        </w:rPr>
        <w:t>)</w:t>
      </w:r>
      <w:r>
        <w:rPr>
          <w:rFonts w:ascii="Times New Roman" w:hAnsi="仿宋" w:eastAsia="仿宋" w:cs="Times New Roman"/>
          <w:sz w:val="32"/>
          <w:szCs w:val="32"/>
        </w:rPr>
        <w:t>刑事诉讼案件；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二</w:t>
      </w:r>
      <w:r>
        <w:rPr>
          <w:rFonts w:ascii="Times New Roman" w:hAnsi="Times New Roman" w:eastAsia="仿宋" w:cs="Times New Roman"/>
          <w:sz w:val="32"/>
          <w:szCs w:val="32"/>
        </w:rPr>
        <w:t>)</w:t>
      </w:r>
      <w:r>
        <w:rPr>
          <w:rFonts w:ascii="Times New Roman" w:hAnsi="仿宋" w:eastAsia="仿宋" w:cs="Times New Roman"/>
          <w:sz w:val="32"/>
          <w:szCs w:val="32"/>
        </w:rPr>
        <w:t>行政诉讼案件；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三</w:t>
      </w:r>
      <w:r>
        <w:rPr>
          <w:rFonts w:ascii="Times New Roman" w:hAnsi="Times New Roman" w:eastAsia="仿宋" w:cs="Times New Roman"/>
          <w:sz w:val="32"/>
          <w:szCs w:val="32"/>
        </w:rPr>
        <w:t>)</w:t>
      </w:r>
      <w:r>
        <w:rPr>
          <w:rFonts w:ascii="Times New Roman" w:hAnsi="仿宋" w:eastAsia="仿宋" w:cs="Times New Roman"/>
          <w:sz w:val="32"/>
          <w:szCs w:val="32"/>
        </w:rPr>
        <w:t>国家赔偿案件；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四</w:t>
      </w:r>
      <w:r>
        <w:rPr>
          <w:rFonts w:ascii="Times New Roman" w:hAnsi="Times New Roman" w:eastAsia="仿宋" w:cs="Times New Roman"/>
          <w:sz w:val="32"/>
          <w:szCs w:val="32"/>
        </w:rPr>
        <w:t>)</w:t>
      </w:r>
      <w:r>
        <w:rPr>
          <w:rFonts w:ascii="Times New Roman" w:hAnsi="仿宋" w:eastAsia="仿宋" w:cs="Times New Roman"/>
          <w:sz w:val="32"/>
          <w:szCs w:val="32"/>
        </w:rPr>
        <w:t>群体性诉讼案件；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五</w:t>
      </w:r>
      <w:r>
        <w:rPr>
          <w:rFonts w:ascii="Times New Roman" w:hAnsi="Times New Roman" w:eastAsia="仿宋" w:cs="Times New Roman"/>
          <w:sz w:val="32"/>
          <w:szCs w:val="32"/>
        </w:rPr>
        <w:t>)</w:t>
      </w:r>
      <w:r>
        <w:rPr>
          <w:rFonts w:ascii="Times New Roman" w:hAnsi="仿宋" w:eastAsia="仿宋" w:cs="Times New Roman"/>
          <w:sz w:val="32"/>
          <w:szCs w:val="32"/>
        </w:rPr>
        <w:t>婚姻继承案件；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ascii="Times New Roman" w:hAnsi="仿宋" w:eastAsia="仿宋" w:cs="Times New Roman"/>
          <w:sz w:val="32"/>
          <w:szCs w:val="32"/>
        </w:rPr>
        <w:t>六</w:t>
      </w:r>
      <w:r>
        <w:rPr>
          <w:rFonts w:ascii="Times New Roman" w:hAnsi="Times New Roman" w:eastAsia="仿宋" w:cs="Times New Roman"/>
          <w:sz w:val="32"/>
          <w:szCs w:val="32"/>
        </w:rPr>
        <w:t>)</w:t>
      </w:r>
      <w:r>
        <w:rPr>
          <w:rFonts w:ascii="Times New Roman" w:hAnsi="仿宋" w:eastAsia="仿宋" w:cs="Times New Roman"/>
          <w:sz w:val="32"/>
          <w:szCs w:val="32"/>
        </w:rPr>
        <w:t>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-8</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50%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5</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10</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5</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2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倍收费。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D59FA"/>
    <w:multiLevelType w:val="singleLevel"/>
    <w:tmpl w:val="9DDD59FA"/>
    <w:lvl w:ilvl="0" w:tentative="0">
      <w:start w:val="4"/>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2351D"/>
    <w:rsid w:val="00150461"/>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912D78"/>
    <w:rsid w:val="00915DD7"/>
    <w:rsid w:val="00935FF0"/>
    <w:rsid w:val="009928C2"/>
    <w:rsid w:val="009B0D09"/>
    <w:rsid w:val="009B2BF1"/>
    <w:rsid w:val="009C08AA"/>
    <w:rsid w:val="00A40DB8"/>
    <w:rsid w:val="00A5775E"/>
    <w:rsid w:val="00A75AA1"/>
    <w:rsid w:val="00B718AA"/>
    <w:rsid w:val="00BB26EC"/>
    <w:rsid w:val="00BF6BC4"/>
    <w:rsid w:val="00C31312"/>
    <w:rsid w:val="00C42A1D"/>
    <w:rsid w:val="00C50F3B"/>
    <w:rsid w:val="00CB26F6"/>
    <w:rsid w:val="00CE1660"/>
    <w:rsid w:val="00CF1993"/>
    <w:rsid w:val="00D0276C"/>
    <w:rsid w:val="00D23FC9"/>
    <w:rsid w:val="00D246FF"/>
    <w:rsid w:val="00D40349"/>
    <w:rsid w:val="00D94AA5"/>
    <w:rsid w:val="00DB797F"/>
    <w:rsid w:val="00DC11B8"/>
    <w:rsid w:val="00E53727"/>
    <w:rsid w:val="00E64635"/>
    <w:rsid w:val="00E7708B"/>
    <w:rsid w:val="00EA5D3A"/>
    <w:rsid w:val="00EF32BA"/>
    <w:rsid w:val="00F46551"/>
    <w:rsid w:val="00F618B6"/>
    <w:rsid w:val="00F73074"/>
    <w:rsid w:val="00FB0721"/>
    <w:rsid w:val="00FE2E7F"/>
    <w:rsid w:val="26406C5F"/>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762</Words>
  <Characters>4344</Characters>
  <Lines>36</Lines>
  <Paragraphs>10</Paragraphs>
  <TotalTime>479</TotalTime>
  <ScaleCrop>false</ScaleCrop>
  <LinksUpToDate>false</LinksUpToDate>
  <CharactersWithSpaces>5096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2024-09-04T06:15:08Z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