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Times New Roman" w:hAnsi="Times New Roman" w:eastAsia="仿宋" w:cs="Times New Roman"/>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23</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号）及省上相关规定，本会对四川凯晴律师事务所提交的《四川凯晴律师事务所律师服务收费标准》已审查完毕，相关内容符合相关规定，本会同意备案人的备案申请，该收费标准自备案之日起至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四川凯晴律师事务所律师服务收费标准</w:t>
      </w:r>
    </w:p>
    <w:p>
      <w:pPr>
        <w:pStyle w:val="6"/>
        <w:spacing w:beforeAutospacing="0" w:afterAutospacing="0" w:line="50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第一条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本收费标准遵循公开公平、平等自愿、诚实信用的基本原则。结合法律事务复杂程度、工作时长、参与人数、执业经验、风险责任、涉诉标的额等情况，根据本收费标准由委托人与律师事务所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b/>
          <w:bCs/>
          <w:color w:val="000000" w:themeColor="text1"/>
          <w:sz w:val="32"/>
          <w:szCs w:val="32"/>
        </w:rPr>
        <w:t>第三条</w:t>
      </w:r>
      <w:r>
        <w:rPr>
          <w:rFonts w:ascii="Times New Roman" w:hAnsi="仿宋" w:eastAsia="仿宋" w:cs="Times New Roman"/>
          <w:color w:val="000000" w:themeColor="text1"/>
          <w:sz w:val="32"/>
          <w:szCs w:val="32"/>
        </w:rPr>
        <w:t>律师服务费是</w:t>
      </w:r>
      <w:r>
        <w:rPr>
          <w:rFonts w:ascii="Times New Roman" w:hAnsi="仿宋" w:eastAsia="仿宋" w:cs="Times New Roman"/>
          <w:color w:val="000000" w:themeColor="text1"/>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律师办理委托事项过程中发生的诉讼费、仲裁费、鉴定费、公证费、异地办案差旅费、专家论证费等费用，以及律师事务所代委托人支付的其他费用，由委托人另行支付。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第四条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本所就下列委托事项收取律师服务费</w:t>
      </w:r>
      <w:r>
        <w:rPr>
          <w:rFonts w:ascii="Times New Roman" w:hAnsi="Times New Roman" w:eastAsia="仿宋" w:cs="Times New Roman"/>
          <w:color w:val="000000" w:themeColor="text1"/>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b/>
          <w:bCs/>
          <w:color w:val="000000" w:themeColor="text1"/>
          <w:kern w:val="2"/>
          <w:sz w:val="32"/>
          <w:szCs w:val="32"/>
        </w:rPr>
        <w:t>第五条</w:t>
      </w:r>
      <w:r>
        <w:rPr>
          <w:rFonts w:ascii="Times New Roman" w:hAnsi="Times New Roman" w:eastAsia="仿宋" w:cs="Times New Roman"/>
          <w:b/>
          <w:bCs/>
          <w:color w:val="000000" w:themeColor="text1"/>
          <w:kern w:val="2"/>
          <w:sz w:val="32"/>
          <w:szCs w:val="32"/>
        </w:rPr>
        <w:t xml:space="preserve"> </w:t>
      </w:r>
      <w:r>
        <w:rPr>
          <w:rFonts w:ascii="Times New Roman" w:hAnsi="仿宋" w:eastAsia="仿宋" w:cs="Times New Roman"/>
          <w:color w:val="000000" w:themeColor="text1"/>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b/>
          <w:bCs/>
          <w:color w:val="000000" w:themeColor="text1"/>
          <w:kern w:val="2"/>
          <w:sz w:val="32"/>
          <w:szCs w:val="32"/>
        </w:rPr>
        <w:t>第六条</w:t>
      </w:r>
      <w:r>
        <w:rPr>
          <w:rFonts w:ascii="Times New Roman" w:hAnsi="Times New Roman" w:eastAsia="仿宋" w:cs="Times New Roman"/>
          <w:b/>
          <w:bCs/>
          <w:color w:val="000000" w:themeColor="text1"/>
          <w:kern w:val="2"/>
          <w:sz w:val="32"/>
          <w:szCs w:val="32"/>
        </w:rPr>
        <w:t xml:space="preserve"> </w:t>
      </w:r>
      <w:r>
        <w:rPr>
          <w:rFonts w:ascii="Times New Roman" w:hAnsi="仿宋" w:eastAsia="仿宋" w:cs="Times New Roman"/>
          <w:color w:val="000000" w:themeColor="text1"/>
          <w:kern w:val="2"/>
          <w:sz w:val="32"/>
          <w:szCs w:val="32"/>
        </w:rPr>
        <w:t>律师服务费的收费方式和收费金额，应由律师事务所与委托人签订相应的法律事务服务合同进行约定，律师服务费应由律师事务所统一收取、统一入账，律师个人不得向委托人收取律师服务费。</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第七条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律师服务费由律师事务所依约定收取并据实开具律师服务费发票，</w:t>
      </w:r>
      <w:r>
        <w:rPr>
          <w:rFonts w:ascii="Times New Roman" w:hAnsi="仿宋" w:eastAsia="仿宋" w:cs="Times New Roman"/>
          <w:color w:val="000000" w:themeColor="text1"/>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color w:val="000000" w:themeColor="text1"/>
          <w:sz w:val="32"/>
          <w:szCs w:val="32"/>
        </w:rPr>
      </w:pPr>
      <w:r>
        <w:rPr>
          <w:rFonts w:ascii="Times New Roman" w:hAnsi="黑体" w:eastAsia="黑体" w:cs="Times New Roman"/>
          <w:bCs/>
          <w:color w:val="000000" w:themeColor="text1"/>
          <w:sz w:val="32"/>
          <w:szCs w:val="32"/>
        </w:rPr>
        <w:t>第二章</w:t>
      </w:r>
      <w:r>
        <w:rPr>
          <w:rFonts w:ascii="Times New Roman" w:hAnsi="Times New Roman" w:eastAsia="黑体" w:cs="Times New Roman"/>
          <w:bCs/>
          <w:color w:val="000000" w:themeColor="text1"/>
          <w:sz w:val="32"/>
          <w:szCs w:val="32"/>
        </w:rPr>
        <w:t xml:space="preserve"> </w:t>
      </w:r>
      <w:r>
        <w:rPr>
          <w:rFonts w:ascii="Times New Roman" w:hAnsi="黑体" w:eastAsia="黑体" w:cs="Times New Roman"/>
          <w:bCs/>
          <w:color w:val="000000" w:themeColor="text1"/>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第一节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第八条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第九条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themeColor="text1"/>
          <w:sz w:val="32"/>
          <w:szCs w:val="32"/>
        </w:rPr>
        <w:t>500</w:t>
      </w:r>
      <w:r>
        <w:rPr>
          <w:rFonts w:ascii="Times New Roman" w:hAnsi="仿宋" w:eastAsia="仿宋" w:cs="Times New Roman"/>
          <w:color w:val="000000" w:themeColor="text1"/>
          <w:sz w:val="32"/>
          <w:szCs w:val="32"/>
        </w:rPr>
        <w:t>元</w:t>
      </w:r>
      <w:r>
        <w:rPr>
          <w:rFonts w:ascii="Times New Roman" w:hAnsi="Times New Roman" w:eastAsia="仿宋" w:cs="Times New Roman"/>
          <w:color w:val="000000" w:themeColor="text1"/>
          <w:sz w:val="32"/>
          <w:szCs w:val="32"/>
        </w:rPr>
        <w:t>—10</w:t>
      </w:r>
      <w:r>
        <w:rPr>
          <w:rFonts w:ascii="Times New Roman" w:hAnsi="仿宋" w:eastAsia="仿宋" w:cs="Times New Roman"/>
          <w:color w:val="000000" w:themeColor="text1"/>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（二）担任国家机关、企事业单位、其他组织以及自然人的常年法律顾问，可按年度计件收费，每年度</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—50</w:t>
      </w:r>
      <w:r>
        <w:rPr>
          <w:rFonts w:ascii="Times New Roman" w:hAnsi="仿宋" w:eastAsia="仿宋" w:cs="Times New Roman"/>
          <w:color w:val="000000" w:themeColor="text1"/>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顾问单位需出具法律意见书、律师函等法律文书，收费标准可在法律顾问合同中约定。</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（四）立法调研、起草或者修改法律法规、规范性文件、课题调研、清理规范性文件等，可按件收费，每件</w:t>
      </w:r>
      <w:r>
        <w:rPr>
          <w:rFonts w:ascii="Times New Roman" w:hAnsi="Times New Roman" w:eastAsia="仿宋" w:cs="Times New Roman"/>
          <w:color w:val="000000" w:themeColor="text1"/>
          <w:sz w:val="32"/>
          <w:szCs w:val="32"/>
        </w:rPr>
        <w:t>10</w:t>
      </w:r>
      <w:r>
        <w:rPr>
          <w:rFonts w:ascii="Times New Roman" w:hAnsi="仿宋" w:eastAsia="仿宋" w:cs="Times New Roman"/>
          <w:color w:val="000000" w:themeColor="text1"/>
          <w:sz w:val="32"/>
          <w:szCs w:val="32"/>
        </w:rPr>
        <w:t>万</w:t>
      </w:r>
      <w:r>
        <w:rPr>
          <w:rFonts w:ascii="Times New Roman" w:hAnsi="Times New Roman" w:eastAsia="仿宋" w:cs="Times New Roman"/>
          <w:color w:val="000000" w:themeColor="text1"/>
          <w:sz w:val="32"/>
          <w:szCs w:val="32"/>
        </w:rPr>
        <w:t>—50</w:t>
      </w:r>
      <w:r>
        <w:rPr>
          <w:rFonts w:ascii="Times New Roman" w:hAnsi="仿宋" w:eastAsia="仿宋" w:cs="Times New Roman"/>
          <w:color w:val="000000" w:themeColor="text1"/>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（五）带有公益或普法性质的法律服务，可在上述收费标准基础上下浮动</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对于上述按件收费情形，可根据案件情况、复杂程度，上下调整幅度</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。以前已经有合作关系的服务对象，可按照以前收费标准收费。</w:t>
      </w:r>
    </w:p>
    <w:p>
      <w:pPr>
        <w:spacing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选择计时收费的，可按每位律师每小时</w:t>
      </w:r>
      <w:r>
        <w:rPr>
          <w:rFonts w:ascii="Times New Roman" w:hAnsi="Times New Roman" w:eastAsia="仿宋" w:cs="Times New Roman"/>
          <w:color w:val="000000" w:themeColor="text1"/>
          <w:sz w:val="32"/>
          <w:szCs w:val="32"/>
        </w:rPr>
        <w:t>300</w:t>
      </w:r>
      <w:r>
        <w:rPr>
          <w:rFonts w:ascii="Times New Roman" w:hAnsi="仿宋" w:eastAsia="仿宋" w:cs="Times New Roman"/>
          <w:color w:val="000000" w:themeColor="text1"/>
          <w:sz w:val="32"/>
          <w:szCs w:val="32"/>
        </w:rPr>
        <w:t>元至</w:t>
      </w:r>
      <w:r>
        <w:rPr>
          <w:rFonts w:ascii="Times New Roman" w:hAnsi="Times New Roman" w:eastAsia="仿宋" w:cs="Times New Roman"/>
          <w:color w:val="000000" w:themeColor="text1"/>
          <w:sz w:val="32"/>
          <w:szCs w:val="32"/>
        </w:rPr>
        <w:t>6000</w:t>
      </w:r>
      <w:r>
        <w:rPr>
          <w:rFonts w:ascii="Times New Roman" w:hAnsi="仿宋" w:eastAsia="仿宋" w:cs="Times New Roman"/>
          <w:color w:val="000000" w:themeColor="text1"/>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kern w:val="2"/>
          <w:sz w:val="32"/>
          <w:szCs w:val="32"/>
        </w:rPr>
      </w:pPr>
      <w:r>
        <w:rPr>
          <w:rFonts w:ascii="Times New Roman" w:hAnsi="仿宋" w:eastAsia="仿宋" w:cs="Times New Roman"/>
          <w:color w:val="000000" w:themeColor="text1"/>
          <w:sz w:val="32"/>
          <w:szCs w:val="32"/>
        </w:rPr>
        <w:t>计费工作时间是律师办理委托事项的有效工作时间，</w:t>
      </w:r>
      <w:r>
        <w:rPr>
          <w:rFonts w:ascii="Times New Roman" w:hAnsi="仿宋" w:eastAsia="仿宋" w:cs="Times New Roman"/>
          <w:color w:val="000000" w:themeColor="text1"/>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第十一条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不涉及财产关系的法律事项选择按诉讼程序分阶段收费的，每个阶段可以在</w:t>
      </w:r>
      <w:r>
        <w:rPr>
          <w:rFonts w:ascii="Times New Roman" w:hAnsi="Times New Roman" w:eastAsia="仿宋" w:cs="Times New Roman"/>
          <w:color w:val="000000" w:themeColor="text1"/>
          <w:sz w:val="32"/>
          <w:szCs w:val="32"/>
        </w:rPr>
        <w:t>5000-30</w:t>
      </w:r>
      <w:r>
        <w:rPr>
          <w:rFonts w:ascii="Times New Roman" w:hAnsi="仿宋" w:eastAsia="仿宋" w:cs="Times New Roman"/>
          <w:color w:val="000000" w:themeColor="text1"/>
          <w:sz w:val="32"/>
          <w:szCs w:val="32"/>
        </w:rPr>
        <w:t>万范围内收取律师服务费，可根据案件情况，调整幅度为</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w:t>
      </w:r>
    </w:p>
    <w:p>
      <w:pPr>
        <w:pStyle w:val="6"/>
        <w:spacing w:before="0" w:beforeAutospacing="0" w:after="0" w:afterAutospacing="0" w:line="520" w:lineRule="exact"/>
        <w:jc w:val="center"/>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第二节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color w:val="000000" w:themeColor="text1"/>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（一）</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万元以下部分收费比例为</w:t>
      </w:r>
      <w:r>
        <w:rPr>
          <w:rFonts w:ascii="Times New Roman" w:hAnsi="Times New Roman" w:eastAsia="仿宋" w:cs="Times New Roman"/>
          <w:color w:val="000000" w:themeColor="text1"/>
          <w:sz w:val="32"/>
          <w:szCs w:val="32"/>
        </w:rPr>
        <w:t>4%-9%</w:t>
      </w:r>
      <w:r>
        <w:rPr>
          <w:rFonts w:ascii="Times New Roman" w:hAnsi="仿宋" w:eastAsia="仿宋" w:cs="Times New Roman"/>
          <w:color w:val="000000" w:themeColor="text1"/>
          <w:sz w:val="32"/>
          <w:szCs w:val="32"/>
        </w:rPr>
        <w:t>，最低不少于</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万元至</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万元部分为</w:t>
      </w:r>
      <w:r>
        <w:rPr>
          <w:rFonts w:ascii="Times New Roman" w:hAnsi="Times New Roman" w:eastAsia="仿宋" w:cs="Times New Roman"/>
          <w:color w:val="000000" w:themeColor="text1"/>
          <w:sz w:val="32"/>
          <w:szCs w:val="32"/>
        </w:rPr>
        <w:t>3%-7%</w:t>
      </w:r>
      <w:r>
        <w:rPr>
          <w:rFonts w:ascii="Times New Roman" w:hAnsi="仿宋" w:eastAsia="仿宋" w:cs="Times New Roman"/>
          <w:color w:val="000000" w:themeColor="text1"/>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万元至</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万元部分为</w:t>
      </w:r>
      <w:r>
        <w:rPr>
          <w:rFonts w:ascii="Times New Roman" w:hAnsi="Times New Roman" w:eastAsia="仿宋" w:cs="Times New Roman"/>
          <w:color w:val="000000" w:themeColor="text1"/>
          <w:sz w:val="32"/>
          <w:szCs w:val="32"/>
        </w:rPr>
        <w:t>2%-5%;</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（四）</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万元以上部分，为</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w:t>
      </w:r>
    </w:p>
    <w:p>
      <w:pPr>
        <w:spacing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第十三条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的优惠。</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第十四条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投融资、上市、并购、重组、改制、破产、清算、公司设立、公司治理结构设计、股权及债权债务转让等，参照第十二条标准收费。</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第十五条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若涉及法律服务招投标的案件，律师事务所参与投标，招投标案件的代理费标准与本所收费标准冲突的，以招标文件为准。</w:t>
      </w:r>
    </w:p>
    <w:p>
      <w:pPr>
        <w:pStyle w:val="6"/>
        <w:spacing w:before="0" w:beforeAutospacing="0" w:after="0" w:afterAutospacing="0" w:line="520" w:lineRule="exact"/>
        <w:jc w:val="center"/>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第三节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第十六条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（一）标的额不足人民币</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8%-18%</w:t>
      </w:r>
      <w:r>
        <w:rPr>
          <w:rFonts w:ascii="Times New Roman" w:hAnsi="仿宋" w:eastAsia="仿宋" w:cs="Times New Roman"/>
          <w:color w:val="000000" w:themeColor="text1"/>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（二）标的额在人民币</w:t>
      </w:r>
      <w:r>
        <w:rPr>
          <w:rFonts w:ascii="Times New Roman" w:hAnsi="Times New Roman" w:eastAsia="仿宋" w:cs="Times New Roman"/>
          <w:color w:val="000000" w:themeColor="text1"/>
          <w:sz w:val="32"/>
          <w:szCs w:val="32"/>
        </w:rPr>
        <w:t>100</w:t>
      </w:r>
      <w:r>
        <w:rPr>
          <w:rFonts w:ascii="Times New Roman" w:hAnsi="仿宋" w:eastAsia="仿宋" w:cs="Times New Roman"/>
          <w:color w:val="000000" w:themeColor="text1"/>
          <w:sz w:val="32"/>
          <w:szCs w:val="32"/>
        </w:rPr>
        <w:t>万元以上不足</w:t>
      </w:r>
      <w:r>
        <w:rPr>
          <w:rFonts w:ascii="Times New Roman" w:hAnsi="Times New Roman" w:eastAsia="仿宋" w:cs="Times New Roman"/>
          <w:color w:val="000000" w:themeColor="text1"/>
          <w:sz w:val="32"/>
          <w:szCs w:val="32"/>
        </w:rPr>
        <w:t>500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7%-15%</w:t>
      </w:r>
      <w:r>
        <w:rPr>
          <w:rFonts w:ascii="Times New Roman" w:hAnsi="仿宋" w:eastAsia="仿宋" w:cs="Times New Roman"/>
          <w:color w:val="000000" w:themeColor="text1"/>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（三）标的额在人民币</w:t>
      </w:r>
      <w:r>
        <w:rPr>
          <w:rFonts w:ascii="Times New Roman" w:hAnsi="Times New Roman" w:eastAsia="仿宋" w:cs="Times New Roman"/>
          <w:color w:val="000000" w:themeColor="text1"/>
          <w:sz w:val="32"/>
          <w:szCs w:val="32"/>
        </w:rPr>
        <w:t>500</w:t>
      </w:r>
      <w:r>
        <w:rPr>
          <w:rFonts w:ascii="Times New Roman" w:hAnsi="仿宋" w:eastAsia="仿宋" w:cs="Times New Roman"/>
          <w:color w:val="000000" w:themeColor="text1"/>
          <w:sz w:val="32"/>
          <w:szCs w:val="32"/>
        </w:rPr>
        <w:t>万元以上不足</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5%-12%</w:t>
      </w:r>
      <w:r>
        <w:rPr>
          <w:rFonts w:ascii="Times New Roman" w:hAnsi="仿宋" w:eastAsia="仿宋" w:cs="Times New Roman"/>
          <w:color w:val="000000" w:themeColor="text1"/>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（四）标的额在人民币</w:t>
      </w:r>
      <w:r>
        <w:rPr>
          <w:rFonts w:ascii="Times New Roman" w:hAnsi="Times New Roman" w:eastAsia="仿宋" w:cs="Times New Roman"/>
          <w:color w:val="000000" w:themeColor="text1"/>
          <w:sz w:val="32"/>
          <w:szCs w:val="32"/>
        </w:rPr>
        <w:t>1000</w:t>
      </w:r>
      <w:r>
        <w:rPr>
          <w:rFonts w:ascii="Times New Roman" w:hAnsi="仿宋" w:eastAsia="仿宋" w:cs="Times New Roman"/>
          <w:color w:val="000000" w:themeColor="text1"/>
          <w:sz w:val="32"/>
          <w:szCs w:val="32"/>
        </w:rPr>
        <w:t>万元以上不足</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万元的部分，按</w:t>
      </w:r>
      <w:r>
        <w:rPr>
          <w:rFonts w:ascii="Times New Roman" w:hAnsi="Times New Roman" w:eastAsia="仿宋" w:cs="Times New Roman"/>
          <w:color w:val="000000" w:themeColor="text1"/>
          <w:sz w:val="32"/>
          <w:szCs w:val="32"/>
        </w:rPr>
        <w:t>3%-9%</w:t>
      </w:r>
      <w:r>
        <w:rPr>
          <w:rFonts w:ascii="Times New Roman" w:hAnsi="仿宋" w:eastAsia="仿宋" w:cs="Times New Roman"/>
          <w:color w:val="000000" w:themeColor="text1"/>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（五）标的额在人民币</w:t>
      </w:r>
      <w:r>
        <w:rPr>
          <w:rFonts w:ascii="Times New Roman" w:hAnsi="Times New Roman" w:eastAsia="仿宋" w:cs="Times New Roman"/>
          <w:color w:val="000000" w:themeColor="text1"/>
          <w:sz w:val="32"/>
          <w:szCs w:val="32"/>
        </w:rPr>
        <w:t>5000</w:t>
      </w:r>
      <w:r>
        <w:rPr>
          <w:rFonts w:ascii="Times New Roman" w:hAnsi="仿宋" w:eastAsia="仿宋" w:cs="Times New Roman"/>
          <w:color w:val="000000" w:themeColor="text1"/>
          <w:sz w:val="32"/>
          <w:szCs w:val="32"/>
        </w:rPr>
        <w:t>万元以上的部分，按</w:t>
      </w:r>
      <w:r>
        <w:rPr>
          <w:rFonts w:ascii="Times New Roman" w:hAnsi="Times New Roman" w:eastAsia="仿宋" w:cs="Times New Roman"/>
          <w:color w:val="000000" w:themeColor="text1"/>
          <w:sz w:val="32"/>
          <w:szCs w:val="32"/>
        </w:rPr>
        <w:t>2%-6%</w:t>
      </w:r>
      <w:r>
        <w:rPr>
          <w:rFonts w:ascii="Times New Roman" w:hAnsi="仿宋" w:eastAsia="仿宋" w:cs="Times New Roman"/>
          <w:color w:val="000000" w:themeColor="text1"/>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kern w:val="2"/>
          <w:sz w:val="32"/>
          <w:szCs w:val="32"/>
        </w:rPr>
      </w:pPr>
      <w:r>
        <w:rPr>
          <w:rFonts w:ascii="Times New Roman" w:hAnsi="仿宋" w:eastAsia="仿宋" w:cs="Times New Roman"/>
          <w:b/>
          <w:bCs/>
          <w:color w:val="000000" w:themeColor="text1"/>
          <w:sz w:val="32"/>
          <w:szCs w:val="32"/>
        </w:rPr>
        <w:t>第十七条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在订立风险代理合同过程中，律师或律师事务所应当按相关规定向委托人履行提示义务和告知义务</w:t>
      </w:r>
      <w:r>
        <w:rPr>
          <w:rFonts w:ascii="Times New Roman" w:hAnsi="仿宋" w:eastAsia="仿宋" w:cs="Times New Roman"/>
          <w:color w:val="000000" w:themeColor="text1"/>
          <w:kern w:val="2"/>
          <w:sz w:val="32"/>
          <w:szCs w:val="32"/>
        </w:rPr>
        <w:t>。</w:t>
      </w:r>
    </w:p>
    <w:p>
      <w:pPr>
        <w:pStyle w:val="6"/>
        <w:spacing w:before="0" w:beforeAutospacing="0" w:after="0" w:afterAutospacing="0" w:line="520" w:lineRule="exact"/>
        <w:jc w:val="center"/>
        <w:rPr>
          <w:rFonts w:ascii="Times New Roman" w:hAnsi="Times New Roman" w:eastAsia="楷体" w:cs="Times New Roman"/>
          <w:b/>
          <w:bCs/>
          <w:color w:val="000000" w:themeColor="text1"/>
          <w:sz w:val="32"/>
          <w:szCs w:val="32"/>
        </w:rPr>
      </w:pPr>
      <w:r>
        <w:rPr>
          <w:rFonts w:ascii="Times New Roman" w:hAnsi="楷体" w:eastAsia="楷体" w:cs="Times New Roman"/>
          <w:b/>
          <w:bCs/>
          <w:color w:val="000000" w:themeColor="text1"/>
          <w:sz w:val="32"/>
          <w:szCs w:val="32"/>
        </w:rPr>
        <w:t>第四节</w:t>
      </w:r>
      <w:r>
        <w:rPr>
          <w:rFonts w:ascii="Times New Roman" w:hAnsi="Times New Roman" w:eastAsia="楷体" w:cs="Times New Roman"/>
          <w:b/>
          <w:bCs/>
          <w:color w:val="000000" w:themeColor="text1"/>
          <w:sz w:val="32"/>
          <w:szCs w:val="32"/>
        </w:rPr>
        <w:t xml:space="preserve"> </w:t>
      </w:r>
      <w:r>
        <w:rPr>
          <w:rFonts w:ascii="Times New Roman" w:hAnsi="楷体" w:eastAsia="楷体" w:cs="Times New Roman"/>
          <w:b/>
          <w:bCs/>
          <w:color w:val="000000" w:themeColor="text1"/>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第十八条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color w:val="000000" w:themeColor="text1"/>
          <w:sz w:val="32"/>
          <w:szCs w:val="32"/>
        </w:rPr>
      </w:pPr>
      <w:r>
        <w:rPr>
          <w:rFonts w:ascii="Times New Roman" w:hAnsi="仿宋" w:eastAsia="仿宋" w:cs="Times New Roman"/>
          <w:color w:val="000000" w:themeColor="text1"/>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第十九条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、侦查阶段、审查起诉阶段、一审阶段、二审阶段，每个阶段</w:t>
      </w: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-30</w:t>
      </w:r>
      <w:r>
        <w:rPr>
          <w:rFonts w:ascii="Times New Roman" w:hAnsi="仿宋" w:eastAsia="仿宋" w:cs="Times New Roman"/>
          <w:color w:val="000000" w:themeColor="text1"/>
          <w:sz w:val="32"/>
          <w:szCs w:val="32"/>
        </w:rPr>
        <w:t>万元；上述阶段同时由本所律师代理的，可给予优惠，优惠幅度</w:t>
      </w:r>
      <w:r>
        <w:rPr>
          <w:rFonts w:ascii="Times New Roman" w:hAnsi="Times New Roman" w:eastAsia="仿宋" w:cs="Times New Roman"/>
          <w:color w:val="000000" w:themeColor="text1"/>
          <w:sz w:val="32"/>
          <w:szCs w:val="32"/>
        </w:rPr>
        <w:t>20%</w:t>
      </w:r>
      <w:r>
        <w:rPr>
          <w:rFonts w:ascii="Times New Roman" w:hAnsi="仿宋" w:eastAsia="仿宋" w:cs="Times New Roman"/>
          <w:color w:val="000000" w:themeColor="text1"/>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、重审、申诉、再审，每件每阶段按照</w:t>
      </w:r>
      <w:r>
        <w:rPr>
          <w:rFonts w:ascii="Times New Roman" w:hAnsi="Times New Roman" w:eastAsia="仿宋" w:cs="Times New Roman"/>
          <w:color w:val="000000" w:themeColor="text1"/>
          <w:sz w:val="32"/>
          <w:szCs w:val="32"/>
        </w:rPr>
        <w:t>3-30</w:t>
      </w:r>
      <w:r>
        <w:rPr>
          <w:rFonts w:ascii="Times New Roman" w:hAnsi="仿宋" w:eastAsia="仿宋" w:cs="Times New Roman"/>
          <w:color w:val="000000" w:themeColor="text1"/>
          <w:sz w:val="32"/>
          <w:szCs w:val="32"/>
        </w:rPr>
        <w:t>万元收取，如上述案件经重审、申诉、再审，又涉及一审、二审阶段及其他阶段的，则每个阶段另行按照本条对应的费用加收；</w:t>
      </w:r>
    </w:p>
    <w:p>
      <w:pPr>
        <w:pStyle w:val="6"/>
        <w:spacing w:before="0" w:beforeAutospacing="0" w:after="0" w:afterAutospacing="0"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、案件涉及有财产及其他标的，参照本标准第二章第二节的规定执行。</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担任刑事案件自诉人、被害人的代理人：</w:t>
      </w: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-10</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件，也可按标的额的百分比进行收费。</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第二十条</w:t>
      </w:r>
      <w:r>
        <w:rPr>
          <w:rFonts w:ascii="Times New Roman" w:hAnsi="Times New Roman" w:eastAsia="仿宋" w:cs="Times New Roman"/>
          <w:color w:val="000000" w:themeColor="text1"/>
          <w:sz w:val="32"/>
          <w:szCs w:val="32"/>
        </w:rPr>
        <w:t xml:space="preserve"> </w:t>
      </w:r>
      <w:r>
        <w:rPr>
          <w:rFonts w:ascii="Times New Roman" w:hAnsi="仿宋" w:eastAsia="仿宋" w:cs="Times New Roman"/>
          <w:color w:val="000000" w:themeColor="text1"/>
          <w:sz w:val="32"/>
          <w:szCs w:val="32"/>
        </w:rPr>
        <w:t>不能采取或变相采取风险代理收费的，参照本标准第二章第二节的规定执行。</w:t>
      </w:r>
    </w:p>
    <w:p>
      <w:pPr>
        <w:spacing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第二十一条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代理国家赔偿案件可实行计件收费，每件收取</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万元</w:t>
      </w:r>
      <w:r>
        <w:rPr>
          <w:rFonts w:ascii="Times New Roman" w:hAnsi="Times New Roman" w:eastAsia="仿宋" w:cs="Times New Roman"/>
          <w:color w:val="000000" w:themeColor="text1"/>
          <w:sz w:val="32"/>
          <w:szCs w:val="32"/>
        </w:rPr>
        <w:t>-10</w:t>
      </w:r>
      <w:r>
        <w:rPr>
          <w:rFonts w:ascii="Times New Roman" w:hAnsi="仿宋" w:eastAsia="仿宋" w:cs="Times New Roman"/>
          <w:color w:val="000000" w:themeColor="text1"/>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color w:val="000000" w:themeColor="text1"/>
          <w:kern w:val="0"/>
          <w:sz w:val="32"/>
          <w:szCs w:val="32"/>
        </w:rPr>
      </w:pPr>
      <w:r>
        <w:rPr>
          <w:rFonts w:ascii="Times New Roman" w:hAnsi="黑体" w:eastAsia="黑体" w:cs="Times New Roman"/>
          <w:bCs/>
          <w:color w:val="000000" w:themeColor="text1"/>
          <w:kern w:val="0"/>
          <w:sz w:val="32"/>
          <w:szCs w:val="32"/>
        </w:rPr>
        <w:t>第三章</w:t>
      </w:r>
      <w:r>
        <w:rPr>
          <w:rFonts w:ascii="Times New Roman" w:hAnsi="Times New Roman" w:eastAsia="黑体" w:cs="Times New Roman"/>
          <w:bCs/>
          <w:color w:val="000000" w:themeColor="text1"/>
          <w:kern w:val="0"/>
          <w:sz w:val="32"/>
          <w:szCs w:val="32"/>
        </w:rPr>
        <w:t xml:space="preserve"> </w:t>
      </w:r>
      <w:r>
        <w:rPr>
          <w:rFonts w:ascii="Times New Roman" w:hAnsi="黑体" w:eastAsia="黑体" w:cs="Times New Roman"/>
          <w:bCs/>
          <w:color w:val="000000" w:themeColor="text1"/>
          <w:kern w:val="0"/>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第二十三条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选择计时收费的案件，如涉及涉外（含港、澳、台）案件及重大、疑难、复杂及律师工作量大的民事诉讼、仲裁案件，可以按计时收费标准</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第二十四条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涉外（含涉港、澳、台）案件的收费标准，原则上按照本收费标准上浮</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倍执行。经委托人同意，也可以由本所参照外国或港、澳、台地区律师事务所驻我国代表机构办理同类法律事务的收费标准，与委托人协商确定收费数额。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第二十五条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对于重大、疑难、复杂及律师工作量大的民事诉讼、仲裁案件，可以在民事诉讼案件一审阶段的收费标准基础上浮不超过</w:t>
      </w: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倍收费。下列案件为重大、疑难、复杂民事诉讼、仲裁案件：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(1)</w:t>
      </w:r>
      <w:r>
        <w:rPr>
          <w:rFonts w:ascii="Times New Roman" w:hAnsi="仿宋" w:eastAsia="仿宋" w:cs="Times New Roman"/>
          <w:color w:val="000000" w:themeColor="text1"/>
          <w:sz w:val="32"/>
          <w:szCs w:val="32"/>
        </w:rPr>
        <w:t>由中级以上人民法院受理一审的案件；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(2)</w:t>
      </w:r>
      <w:r>
        <w:rPr>
          <w:rFonts w:ascii="Times New Roman" w:hAnsi="仿宋" w:eastAsia="仿宋" w:cs="Times New Roman"/>
          <w:color w:val="000000" w:themeColor="text1"/>
          <w:sz w:val="32"/>
          <w:szCs w:val="32"/>
        </w:rPr>
        <w:t>当事人一方人数在</w:t>
      </w:r>
      <w:r>
        <w:rPr>
          <w:rFonts w:ascii="Times New Roman" w:hAnsi="Times New Roman" w:eastAsia="仿宋" w:cs="Times New Roman"/>
          <w:color w:val="000000" w:themeColor="text1"/>
          <w:sz w:val="32"/>
          <w:szCs w:val="32"/>
        </w:rPr>
        <w:t xml:space="preserve">3 </w:t>
      </w:r>
      <w:r>
        <w:rPr>
          <w:rFonts w:ascii="Times New Roman" w:hAnsi="仿宋" w:eastAsia="仿宋" w:cs="Times New Roman"/>
          <w:color w:val="000000" w:themeColor="text1"/>
          <w:sz w:val="32"/>
          <w:szCs w:val="32"/>
        </w:rPr>
        <w:t>人及</w:t>
      </w:r>
      <w:r>
        <w:rPr>
          <w:rFonts w:ascii="Times New Roman" w:hAnsi="Times New Roman" w:eastAsia="仿宋" w:cs="Times New Roman"/>
          <w:color w:val="000000" w:themeColor="text1"/>
          <w:sz w:val="32"/>
          <w:szCs w:val="32"/>
        </w:rPr>
        <w:t xml:space="preserve">3 </w:t>
      </w:r>
      <w:r>
        <w:rPr>
          <w:rFonts w:ascii="Times New Roman" w:hAnsi="仿宋" w:eastAsia="仿宋" w:cs="Times New Roman"/>
          <w:color w:val="000000" w:themeColor="text1"/>
          <w:sz w:val="32"/>
          <w:szCs w:val="32"/>
        </w:rPr>
        <w:t>人以上的共同诉讼案件；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(3)</w:t>
      </w:r>
      <w:r>
        <w:rPr>
          <w:rFonts w:ascii="Times New Roman" w:hAnsi="仿宋" w:eastAsia="仿宋" w:cs="Times New Roman"/>
          <w:color w:val="000000" w:themeColor="text1"/>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(4)</w:t>
      </w:r>
      <w:r>
        <w:rPr>
          <w:rFonts w:ascii="Times New Roman" w:hAnsi="仿宋" w:eastAsia="仿宋" w:cs="Times New Roman"/>
          <w:color w:val="000000" w:themeColor="text1"/>
          <w:sz w:val="32"/>
          <w:szCs w:val="32"/>
        </w:rPr>
        <w:t>取证困难的案件；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(5)</w:t>
      </w:r>
      <w:r>
        <w:rPr>
          <w:rFonts w:ascii="Times New Roman" w:hAnsi="仿宋" w:eastAsia="仿宋" w:cs="Times New Roman"/>
          <w:color w:val="000000" w:themeColor="text1"/>
          <w:sz w:val="32"/>
          <w:szCs w:val="32"/>
        </w:rPr>
        <w:t>新类型案件；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涉及两个以上法律关系的案件；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(7)</w:t>
      </w:r>
      <w:r>
        <w:rPr>
          <w:rFonts w:ascii="Times New Roman" w:hAnsi="仿宋" w:eastAsia="仿宋" w:cs="Times New Roman"/>
          <w:color w:val="000000" w:themeColor="text1"/>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(8)</w:t>
      </w:r>
      <w:r>
        <w:rPr>
          <w:rFonts w:ascii="Times New Roman" w:hAnsi="仿宋" w:eastAsia="仿宋" w:cs="Times New Roman"/>
          <w:color w:val="000000" w:themeColor="text1"/>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第二十六条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代理民事申诉案件，按照代理民事诉讼案件按一审阶段收费标准</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倍收费。</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第二十七条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单独承办执行案件，如执行难度大，执行程序复杂的重大执行案件，按一审阶段收费标准</w:t>
      </w:r>
      <w:r>
        <w:rPr>
          <w:rFonts w:ascii="Times New Roman" w:hAnsi="Times New Roman" w:eastAsia="仿宋" w:cs="Times New Roman"/>
          <w:color w:val="000000" w:themeColor="text1"/>
          <w:sz w:val="32"/>
          <w:szCs w:val="32"/>
        </w:rPr>
        <w:t>1-3</w:t>
      </w:r>
      <w:r>
        <w:rPr>
          <w:rFonts w:ascii="Times New Roman" w:hAnsi="仿宋" w:eastAsia="仿宋" w:cs="Times New Roman"/>
          <w:color w:val="000000" w:themeColor="text1"/>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第二十八条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办理职务犯罪、异地、重大、疑难、复杂、社会影响较大的刑事诉讼案件，可以在本收费标准中刑事收费标准基础</w:t>
      </w: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倍之内</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含</w:t>
      </w:r>
      <w:r>
        <w:rPr>
          <w:rFonts w:ascii="Times New Roman" w:hAnsi="Times New Roman" w:eastAsia="仿宋" w:cs="Times New Roman"/>
          <w:color w:val="000000" w:themeColor="text1"/>
          <w:sz w:val="32"/>
          <w:szCs w:val="32"/>
        </w:rPr>
        <w:t>6</w:t>
      </w:r>
      <w:r>
        <w:rPr>
          <w:rFonts w:ascii="Times New Roman" w:hAnsi="仿宋" w:eastAsia="仿宋" w:cs="Times New Roman"/>
          <w:color w:val="000000" w:themeColor="text1"/>
          <w:sz w:val="32"/>
          <w:szCs w:val="32"/>
        </w:rPr>
        <w:t>倍</w:t>
      </w:r>
      <w:r>
        <w:rPr>
          <w:rFonts w:ascii="Times New Roman" w:hAnsi="Times New Roman" w:eastAsia="仿宋" w:cs="Times New Roman"/>
          <w:color w:val="000000" w:themeColor="text1"/>
          <w:sz w:val="32"/>
          <w:szCs w:val="32"/>
        </w:rPr>
        <w:t>)</w:t>
      </w:r>
      <w:r>
        <w:rPr>
          <w:rFonts w:ascii="Times New Roman" w:hAnsi="仿宋" w:eastAsia="仿宋" w:cs="Times New Roman"/>
          <w:color w:val="000000" w:themeColor="text1"/>
          <w:sz w:val="32"/>
          <w:szCs w:val="32"/>
        </w:rPr>
        <w:t>协商确定收费。</w:t>
      </w:r>
    </w:p>
    <w:p>
      <w:pPr>
        <w:widowControl/>
        <w:spacing w:line="520" w:lineRule="exact"/>
        <w:jc w:val="center"/>
        <w:rPr>
          <w:rFonts w:ascii="Times New Roman" w:hAnsi="Times New Roman" w:eastAsia="黑体" w:cs="Times New Roman"/>
          <w:bCs/>
          <w:color w:val="000000" w:themeColor="text1"/>
          <w:kern w:val="0"/>
          <w:sz w:val="32"/>
          <w:szCs w:val="32"/>
        </w:rPr>
      </w:pPr>
      <w:r>
        <w:rPr>
          <w:rFonts w:ascii="Times New Roman" w:hAnsi="黑体" w:eastAsia="黑体" w:cs="Times New Roman"/>
          <w:bCs/>
          <w:color w:val="000000" w:themeColor="text1"/>
          <w:kern w:val="0"/>
          <w:sz w:val="32"/>
          <w:szCs w:val="32"/>
        </w:rPr>
        <w:t>第四章</w:t>
      </w:r>
      <w:r>
        <w:rPr>
          <w:rFonts w:ascii="Times New Roman" w:hAnsi="Times New Roman" w:eastAsia="黑体" w:cs="Times New Roman"/>
          <w:bCs/>
          <w:color w:val="000000" w:themeColor="text1"/>
          <w:kern w:val="0"/>
          <w:sz w:val="32"/>
          <w:szCs w:val="32"/>
        </w:rPr>
        <w:t xml:space="preserve"> </w:t>
      </w:r>
      <w:r>
        <w:rPr>
          <w:rFonts w:ascii="Times New Roman" w:hAnsi="黑体" w:eastAsia="黑体" w:cs="Times New Roman"/>
          <w:bCs/>
          <w:color w:val="000000" w:themeColor="text1"/>
          <w:kern w:val="0"/>
          <w:sz w:val="32"/>
          <w:szCs w:val="32"/>
        </w:rPr>
        <w:t>其他说明</w:t>
      </w:r>
    </w:p>
    <w:p>
      <w:pPr>
        <w:pStyle w:val="6"/>
        <w:adjustRightInd w:val="0"/>
        <w:spacing w:before="0" w:beforeAutospacing="0" w:after="0" w:afterAutospacing="0" w:line="520" w:lineRule="exact"/>
        <w:ind w:firstLine="643" w:firstLineChars="200"/>
        <w:rPr>
          <w:rFonts w:ascii="Times New Roman" w:hAnsi="Times New Roman" w:eastAsia="仿宋" w:cs="Times New Roman"/>
          <w:b/>
          <w:bCs/>
          <w:color w:val="000000" w:themeColor="text1"/>
          <w:sz w:val="32"/>
          <w:szCs w:val="32"/>
        </w:rPr>
      </w:pPr>
      <w:r>
        <w:rPr>
          <w:rFonts w:ascii="Times New Roman" w:hAnsi="仿宋" w:eastAsia="仿宋" w:cs="Times New Roman"/>
          <w:b/>
          <w:bCs/>
          <w:color w:val="000000" w:themeColor="text1"/>
          <w:sz w:val="32"/>
          <w:szCs w:val="32"/>
        </w:rPr>
        <w:t>第二十九条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bCs/>
          <w:color w:val="000000" w:themeColor="text1"/>
          <w:sz w:val="32"/>
          <w:szCs w:val="32"/>
        </w:rPr>
        <w:t>其他收费方式</w:t>
      </w:r>
      <w:r>
        <w:rPr>
          <w:rFonts w:ascii="Times New Roman" w:hAnsi="仿宋" w:eastAsia="仿宋" w:cs="Times New Roman"/>
          <w:color w:val="000000" w:themeColor="text1"/>
          <w:sz w:val="32"/>
          <w:szCs w:val="32"/>
        </w:rPr>
        <w:t>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第三十一条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对办理涉及农民工、残疾人等弱势群体或者与公益活动、法治宣传等有关的法律服务事项，可以酌情减免律师服务费。</w:t>
      </w:r>
    </w:p>
    <w:p>
      <w:pPr>
        <w:widowControl/>
        <w:spacing w:line="520" w:lineRule="exact"/>
        <w:ind w:firstLine="643" w:firstLineChars="200"/>
        <w:jc w:val="left"/>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第三十二条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color w:val="000000" w:themeColor="text1"/>
          <w:sz w:val="32"/>
          <w:szCs w:val="32"/>
        </w:rPr>
      </w:pPr>
      <w:r>
        <w:rPr>
          <w:rFonts w:ascii="Times New Roman" w:hAnsi="仿宋" w:eastAsia="仿宋" w:cs="Times New Roman"/>
          <w:color w:val="000000" w:themeColor="text1"/>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color w:val="000000" w:themeColor="text1"/>
          <w:sz w:val="32"/>
          <w:szCs w:val="32"/>
        </w:rPr>
      </w:pPr>
      <w:r>
        <w:rPr>
          <w:rFonts w:ascii="Times New Roman" w:hAnsi="仿宋" w:eastAsia="仿宋" w:cs="Times New Roman"/>
          <w:b/>
          <w:bCs/>
          <w:color w:val="000000" w:themeColor="text1"/>
          <w:sz w:val="32"/>
          <w:szCs w:val="32"/>
        </w:rPr>
        <w:t>第三十三条</w:t>
      </w:r>
      <w:r>
        <w:rPr>
          <w:rFonts w:ascii="Times New Roman" w:hAnsi="Times New Roman" w:eastAsia="仿宋" w:cs="Times New Roman"/>
          <w:b/>
          <w:bCs/>
          <w:color w:val="000000" w:themeColor="text1"/>
          <w:sz w:val="32"/>
          <w:szCs w:val="32"/>
        </w:rPr>
        <w:t xml:space="preserve"> </w:t>
      </w:r>
      <w:r>
        <w:rPr>
          <w:rFonts w:ascii="Times New Roman" w:hAnsi="仿宋" w:eastAsia="仿宋" w:cs="Times New Roman"/>
          <w:color w:val="000000" w:themeColor="text1"/>
          <w:sz w:val="32"/>
          <w:szCs w:val="32"/>
        </w:rPr>
        <w:t>全体律师除前述第三十一条、第三十二条涉及案件外，其他案件收费应严格按本收费标准执行，不得以争揽业务为目的，通过减收或免收律师服务费吸引委托人，进行低价的不正当竞争。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color w:val="000000" w:themeColor="text1"/>
          <w:kern w:val="0"/>
          <w:sz w:val="32"/>
          <w:szCs w:val="32"/>
        </w:rPr>
      </w:pPr>
      <w:r>
        <w:rPr>
          <w:rFonts w:ascii="Times New Roman" w:hAnsi="黑体" w:eastAsia="黑体" w:cs="Times New Roman"/>
          <w:bCs/>
          <w:color w:val="000000" w:themeColor="text1"/>
          <w:kern w:val="0"/>
          <w:sz w:val="32"/>
          <w:szCs w:val="32"/>
        </w:rPr>
        <w:t>第五章</w:t>
      </w:r>
      <w:r>
        <w:rPr>
          <w:rFonts w:ascii="Times New Roman" w:hAnsi="Times New Roman" w:eastAsia="黑体" w:cs="Times New Roman"/>
          <w:bCs/>
          <w:color w:val="000000" w:themeColor="text1"/>
          <w:kern w:val="0"/>
          <w:sz w:val="32"/>
          <w:szCs w:val="32"/>
        </w:rPr>
        <w:t xml:space="preserve"> </w:t>
      </w:r>
      <w:r>
        <w:rPr>
          <w:rFonts w:ascii="Times New Roman" w:hAnsi="黑体" w:eastAsia="黑体" w:cs="Times New Roman"/>
          <w:bCs/>
          <w:color w:val="000000" w:themeColor="text1"/>
          <w:kern w:val="0"/>
          <w:sz w:val="32"/>
          <w:szCs w:val="32"/>
        </w:rPr>
        <w:t>附则</w:t>
      </w:r>
    </w:p>
    <w:p>
      <w:pPr>
        <w:widowControl/>
        <w:spacing w:line="520" w:lineRule="exact"/>
        <w:ind w:firstLine="643" w:firstLineChars="200"/>
        <w:jc w:val="left"/>
        <w:rPr>
          <w:rFonts w:ascii="Times New Roman" w:hAnsi="Times New Roman" w:eastAsia="仿宋" w:cs="Times New Roman"/>
          <w:color w:val="000000" w:themeColor="text1"/>
          <w:kern w:val="0"/>
          <w:sz w:val="32"/>
          <w:szCs w:val="32"/>
        </w:rPr>
      </w:pPr>
      <w:r>
        <w:rPr>
          <w:rFonts w:ascii="Times New Roman" w:hAnsi="仿宋" w:eastAsia="仿宋" w:cs="Times New Roman"/>
          <w:b/>
          <w:bCs/>
          <w:color w:val="000000" w:themeColor="text1"/>
          <w:kern w:val="0"/>
          <w:sz w:val="32"/>
          <w:szCs w:val="32"/>
        </w:rPr>
        <w:t>第三十四条</w:t>
      </w:r>
      <w:r>
        <w:rPr>
          <w:rFonts w:ascii="Times New Roman" w:hAnsi="Times New Roman" w:eastAsia="仿宋" w:cs="Times New Roman"/>
          <w:b/>
          <w:bCs/>
          <w:color w:val="000000" w:themeColor="text1"/>
          <w:kern w:val="0"/>
          <w:sz w:val="32"/>
          <w:szCs w:val="32"/>
        </w:rPr>
        <w:t xml:space="preserve"> </w:t>
      </w:r>
      <w:r>
        <w:rPr>
          <w:rFonts w:ascii="Times New Roman" w:hAnsi="仿宋" w:eastAsia="仿宋" w:cs="Times New Roman"/>
          <w:color w:val="000000" w:themeColor="text1"/>
          <w:kern w:val="0"/>
          <w:sz w:val="32"/>
          <w:szCs w:val="32"/>
        </w:rPr>
        <w:t>本收费标准应当按照相关规定予以备案，并在所内公示，律师事务所全体律师严格遵照执行，并接受社会监督。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color w:val="000000" w:themeColor="text1"/>
          <w:kern w:val="0"/>
          <w:sz w:val="32"/>
          <w:szCs w:val="32"/>
        </w:rPr>
        <w:t>第三十五条</w:t>
      </w:r>
      <w:r>
        <w:rPr>
          <w:rFonts w:ascii="Times New Roman" w:hAnsi="Times New Roman" w:eastAsia="仿宋" w:cs="Times New Roman"/>
          <w:b/>
          <w:bCs/>
          <w:color w:val="000000" w:themeColor="text1"/>
          <w:kern w:val="0"/>
          <w:sz w:val="32"/>
          <w:szCs w:val="32"/>
        </w:rPr>
        <w:t xml:space="preserve"> </w:t>
      </w:r>
      <w:r>
        <w:rPr>
          <w:rFonts w:ascii="Times New Roman" w:hAnsi="仿宋" w:eastAsia="仿宋" w:cs="Times New Roman"/>
          <w:color w:val="000000" w:themeColor="text1"/>
          <w:kern w:val="0"/>
          <w:sz w:val="32"/>
          <w:szCs w:val="32"/>
        </w:rPr>
        <w:t>本收费标准按照规定在德阳市律师协会同意备案后生效。</w:t>
      </w:r>
    </w:p>
    <w:p>
      <w:pPr>
        <w:spacing w:line="520" w:lineRule="exact"/>
        <w:ind w:firstLine="640" w:firstLineChars="200"/>
        <w:rPr>
          <w:rFonts w:ascii="Times New Roman" w:hAnsi="Times New Roman" w:eastAsia="仿宋" w:cs="Times New Roman"/>
          <w:sz w:val="32"/>
          <w:szCs w:val="32"/>
        </w:rPr>
      </w:pP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bookmarkStart w:id="0" w:name="_GoBack"/>
      <w:bookmarkEnd w:id="0"/>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仿宋" w:hAnsi="仿宋" w:eastAsia="仿宋" w:cs="方正仿宋_GBK"/>
          <w:sz w:val="32"/>
          <w:szCs w:val="32"/>
        </w:rPr>
      </w:pPr>
    </w:p>
    <w:p>
      <w:pPr>
        <w:spacing w:line="520" w:lineRule="exact"/>
        <w:ind w:right="640"/>
        <w:rPr>
          <w:rFonts w:ascii="仿宋" w:hAnsi="仿宋" w:eastAsia="仿宋"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66E61"/>
    <w:rsid w:val="001702D6"/>
    <w:rsid w:val="00176683"/>
    <w:rsid w:val="001A3E74"/>
    <w:rsid w:val="001B2CA9"/>
    <w:rsid w:val="0021196F"/>
    <w:rsid w:val="002644D8"/>
    <w:rsid w:val="0026763C"/>
    <w:rsid w:val="00287CA0"/>
    <w:rsid w:val="002A714E"/>
    <w:rsid w:val="002A728B"/>
    <w:rsid w:val="002B64F3"/>
    <w:rsid w:val="002B66A4"/>
    <w:rsid w:val="002E0982"/>
    <w:rsid w:val="002F18F0"/>
    <w:rsid w:val="002F49BF"/>
    <w:rsid w:val="003517FF"/>
    <w:rsid w:val="003B4A86"/>
    <w:rsid w:val="00404C3D"/>
    <w:rsid w:val="004128C2"/>
    <w:rsid w:val="004C268B"/>
    <w:rsid w:val="004D1774"/>
    <w:rsid w:val="004D70C4"/>
    <w:rsid w:val="005245C8"/>
    <w:rsid w:val="00531628"/>
    <w:rsid w:val="00557E26"/>
    <w:rsid w:val="00567584"/>
    <w:rsid w:val="00677DBB"/>
    <w:rsid w:val="006B2C17"/>
    <w:rsid w:val="006C311F"/>
    <w:rsid w:val="006C6CD7"/>
    <w:rsid w:val="006D6BB3"/>
    <w:rsid w:val="00751D1A"/>
    <w:rsid w:val="007752D3"/>
    <w:rsid w:val="007B2EEE"/>
    <w:rsid w:val="007D09B9"/>
    <w:rsid w:val="008542A3"/>
    <w:rsid w:val="00892619"/>
    <w:rsid w:val="008C65AC"/>
    <w:rsid w:val="008F69B3"/>
    <w:rsid w:val="00912D78"/>
    <w:rsid w:val="00915DD7"/>
    <w:rsid w:val="00966996"/>
    <w:rsid w:val="00973FB4"/>
    <w:rsid w:val="009928C2"/>
    <w:rsid w:val="009B0D09"/>
    <w:rsid w:val="009B2BF1"/>
    <w:rsid w:val="009C08AA"/>
    <w:rsid w:val="00A40DB8"/>
    <w:rsid w:val="00A5775E"/>
    <w:rsid w:val="00A75AA1"/>
    <w:rsid w:val="00B718AA"/>
    <w:rsid w:val="00B96A7B"/>
    <w:rsid w:val="00BB26EC"/>
    <w:rsid w:val="00BF6BC4"/>
    <w:rsid w:val="00C31312"/>
    <w:rsid w:val="00C42A1D"/>
    <w:rsid w:val="00C86341"/>
    <w:rsid w:val="00CB26F6"/>
    <w:rsid w:val="00CE1660"/>
    <w:rsid w:val="00D0276C"/>
    <w:rsid w:val="00D23FC9"/>
    <w:rsid w:val="00D246FF"/>
    <w:rsid w:val="00D40349"/>
    <w:rsid w:val="00D94AA5"/>
    <w:rsid w:val="00DC11B8"/>
    <w:rsid w:val="00E41BE8"/>
    <w:rsid w:val="00E53727"/>
    <w:rsid w:val="00E64635"/>
    <w:rsid w:val="00E7708B"/>
    <w:rsid w:val="00EA5D3A"/>
    <w:rsid w:val="00EF32BA"/>
    <w:rsid w:val="00F37ACF"/>
    <w:rsid w:val="00F618B6"/>
    <w:rsid w:val="00F73074"/>
    <w:rsid w:val="00FB0721"/>
    <w:rsid w:val="00FD2942"/>
    <w:rsid w:val="00FE2E7F"/>
    <w:rsid w:val="396664A7"/>
    <w:rsid w:val="3DB06BE8"/>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 w:type="paragraph" w:styleId="1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714</Words>
  <Characters>4074</Characters>
  <Lines>33</Lines>
  <Paragraphs>9</Paragraphs>
  <TotalTime>484</TotalTime>
  <ScaleCrop>false</ScaleCrop>
  <LinksUpToDate>false</LinksUpToDate>
  <CharactersWithSpaces>4779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2024-09-04T06:13:16Z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