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hint="eastAsia" w:ascii="仿宋" w:hAnsi="仿宋" w:eastAsia="仿宋" w:cs="方正小标宋简体"/>
          <w:sz w:val="32"/>
          <w:szCs w:val="32"/>
        </w:rPr>
        <w:t xml:space="preserve">     </w:t>
      </w: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28</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号）及省上相关规定，本会对四川政聚律师事务所提交的《四川政聚律师事务所律师服务收费标准》已审查完毕，相关内容符合相关规定，本会同意备案人的备案申请，该收费标准自备案之日起至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四川政聚律师事务所律师服务收费标准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pPr>
        <w:pStyle w:val="6"/>
        <w:spacing w:before="0" w:beforeAutospacing="0" w:after="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5000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w:t>
      </w:r>
      <w:r>
        <w:rPr>
          <w:rFonts w:ascii="Times New Roman" w:hAnsi="仿宋" w:eastAsia="仿宋" w:cs="Times New Roman"/>
          <w:sz w:val="32"/>
          <w:szCs w:val="32"/>
        </w:rPr>
        <w:t>万元范围内收取律师服务费。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10%-30%</w:t>
      </w:r>
      <w:r>
        <w:rPr>
          <w:rFonts w:ascii="Times New Roman" w:hAnsi="仿宋" w:eastAsia="仿宋" w:cs="Times New Roman"/>
          <w:sz w:val="32"/>
          <w:szCs w:val="32"/>
        </w:rPr>
        <w:t>，最低不少于</w:t>
      </w:r>
      <w:r>
        <w:rPr>
          <w:rFonts w:ascii="Times New Roman" w:hAnsi="Times New Roman" w:eastAsia="仿宋" w:cs="Times New Roman"/>
          <w:sz w:val="32"/>
          <w:szCs w:val="32"/>
        </w:rPr>
        <w:t>3000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5%-10%</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的优惠。同时代理本诉、本请求和反诉、反请求案件的，反诉、反请求按标的额以民事诉讼案件一审阶段的收费标准酌减收费。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10%-20%</w:t>
      </w:r>
      <w:r>
        <w:rPr>
          <w:rFonts w:ascii="Times New Roman" w:hAnsi="仿宋" w:eastAsia="仿宋" w:cs="Times New Roman"/>
          <w:sz w:val="32"/>
          <w:szCs w:val="32"/>
        </w:rPr>
        <w:t>收费，代理执行案件也可采用风险代理或计时收费。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10%-30%</w:t>
      </w:r>
      <w:r>
        <w:rPr>
          <w:rFonts w:ascii="Times New Roman" w:hAnsi="仿宋" w:eastAsia="仿宋" w:cs="Times New Roman"/>
          <w:sz w:val="32"/>
          <w:szCs w:val="32"/>
        </w:rPr>
        <w:t>计算，最低不低于</w:t>
      </w:r>
      <w:r>
        <w:rPr>
          <w:rFonts w:ascii="Times New Roman" w:hAnsi="Times New Roman" w:eastAsia="仿宋" w:cs="Times New Roman"/>
          <w:sz w:val="32"/>
          <w:szCs w:val="32"/>
        </w:rPr>
        <w:t>5000</w:t>
      </w:r>
      <w:r>
        <w:rPr>
          <w:rFonts w:ascii="Times New Roman" w:hAnsi="仿宋" w:eastAsia="仿宋" w:cs="Times New Roman"/>
          <w:sz w:val="32"/>
          <w:szCs w:val="32"/>
        </w:rPr>
        <w:t>元，最高不超过</w:t>
      </w:r>
      <w:r>
        <w:rPr>
          <w:rFonts w:ascii="Times New Roman" w:hAnsi="Times New Roman" w:eastAsia="仿宋" w:cs="Times New Roman"/>
          <w:sz w:val="32"/>
          <w:szCs w:val="32"/>
        </w:rPr>
        <w:t>30%</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200%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x</w:t>
      </w:r>
      <w:r>
        <w:rPr>
          <w:rFonts w:ascii="Times New Roman" w:hAnsi="仿宋" w:eastAsia="仿宋" w:cs="Times New Roman"/>
          <w:sz w:val="32"/>
          <w:szCs w:val="32"/>
        </w:rPr>
        <w:t>倍收费，亦可按本收费标准进行风险代理或者计时收费。</w:t>
      </w:r>
    </w:p>
    <w:p>
      <w:pPr>
        <w:pStyle w:val="6"/>
        <w:spacing w:before="0" w:beforeAutospacing="0" w:after="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spacing w:line="520" w:lineRule="exact"/>
        <w:ind w:firstLine="643" w:firstLineChars="200"/>
        <w:jc w:val="left"/>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pPr>
        <w:widowControl/>
        <w:spacing w:line="520" w:lineRule="exact"/>
        <w:jc w:val="center"/>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widowControl/>
        <w:spacing w:line="560" w:lineRule="exact"/>
        <w:ind w:firstLine="640" w:firstLineChars="200"/>
        <w:jc w:val="left"/>
        <w:rPr>
          <w:rFonts w:ascii="Times New Roman" w:hAnsi="Times New Roman" w:eastAsia="仿宋" w:cs="Times New Roman"/>
          <w:kern w:val="0"/>
          <w:sz w:val="32"/>
          <w:szCs w:val="32"/>
        </w:rPr>
      </w:pP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bookmarkStart w:id="0" w:name="_GoBack"/>
      <w:bookmarkEnd w:id="0"/>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Times New Roman" w:hAnsi="Times New Roman" w:eastAsia="仿宋" w:cs="Times New Roman"/>
          <w:sz w:val="32"/>
          <w:szCs w:val="32"/>
        </w:rPr>
      </w:pPr>
    </w:p>
    <w:p>
      <w:pPr>
        <w:spacing w:line="520" w:lineRule="exact"/>
        <w:ind w:right="64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702D6"/>
    <w:rsid w:val="00176683"/>
    <w:rsid w:val="001B2CA9"/>
    <w:rsid w:val="00210A03"/>
    <w:rsid w:val="00227965"/>
    <w:rsid w:val="002644D8"/>
    <w:rsid w:val="0026763C"/>
    <w:rsid w:val="00287CA0"/>
    <w:rsid w:val="002A714E"/>
    <w:rsid w:val="002A728B"/>
    <w:rsid w:val="002B64F3"/>
    <w:rsid w:val="002B66A4"/>
    <w:rsid w:val="002E0982"/>
    <w:rsid w:val="002F49BF"/>
    <w:rsid w:val="003517FF"/>
    <w:rsid w:val="003B4A86"/>
    <w:rsid w:val="003D4FEE"/>
    <w:rsid w:val="00404C3D"/>
    <w:rsid w:val="004128C2"/>
    <w:rsid w:val="004C268B"/>
    <w:rsid w:val="004D1774"/>
    <w:rsid w:val="004D70C4"/>
    <w:rsid w:val="0050496E"/>
    <w:rsid w:val="005245C8"/>
    <w:rsid w:val="00557E26"/>
    <w:rsid w:val="00567584"/>
    <w:rsid w:val="00677DBB"/>
    <w:rsid w:val="006C311F"/>
    <w:rsid w:val="006C6CD7"/>
    <w:rsid w:val="006D6BB3"/>
    <w:rsid w:val="00751D1A"/>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75AA1"/>
    <w:rsid w:val="00B641F9"/>
    <w:rsid w:val="00B718AA"/>
    <w:rsid w:val="00BB26EC"/>
    <w:rsid w:val="00BF6BC4"/>
    <w:rsid w:val="00C31312"/>
    <w:rsid w:val="00C42A1D"/>
    <w:rsid w:val="00CB26F6"/>
    <w:rsid w:val="00CE1660"/>
    <w:rsid w:val="00D0276C"/>
    <w:rsid w:val="00D23FC9"/>
    <w:rsid w:val="00D246FF"/>
    <w:rsid w:val="00D40349"/>
    <w:rsid w:val="00D94AA5"/>
    <w:rsid w:val="00DC11B8"/>
    <w:rsid w:val="00E53727"/>
    <w:rsid w:val="00E64635"/>
    <w:rsid w:val="00E7708B"/>
    <w:rsid w:val="00EA5D3A"/>
    <w:rsid w:val="00EC083B"/>
    <w:rsid w:val="00EF32BA"/>
    <w:rsid w:val="00F618B6"/>
    <w:rsid w:val="00F73074"/>
    <w:rsid w:val="00FB0721"/>
    <w:rsid w:val="00FE2E7F"/>
    <w:rsid w:val="396664A7"/>
    <w:rsid w:val="4A38621C"/>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758</Words>
  <Characters>4321</Characters>
  <Lines>36</Lines>
  <Paragraphs>10</Paragraphs>
  <TotalTime>479</TotalTime>
  <ScaleCrop>false</ScaleCrop>
  <LinksUpToDate>false</LinksUpToDate>
  <CharactersWithSpaces>5069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2024-09-04T06:07:16Z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