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30</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号）及省上相关规定，本会对四川旭辉律师事务所提交的《四川旭辉律师事务所律师服务收费标准》已审查完毕，相关内容符合相关规定，本会同意备案人的备案申请，该收费标准自备案之日起至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四川旭辉律师事务所律师服务收费标准</w:t>
      </w:r>
    </w:p>
    <w:p>
      <w:pPr>
        <w:pStyle w:val="6"/>
        <w:spacing w:beforeAutospacing="0" w:afterAutospacing="0"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律师服务费是</w:t>
      </w:r>
      <w:r>
        <w:rPr>
          <w:rFonts w:ascii="Times New Roman" w:hAnsi="仿宋" w:eastAsia="仿宋" w:cs="Times New Roman"/>
          <w:color w:val="000000"/>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第四条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本所就下列委托事项收取律师服务费</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kern w:val="2"/>
          <w:sz w:val="32"/>
          <w:szCs w:val="32"/>
        </w:rPr>
        <w:t>第五条</w:t>
      </w:r>
      <w:r>
        <w:rPr>
          <w:rFonts w:ascii="Times New Roman" w:hAnsi="Times New Roman" w:eastAsia="仿宋" w:cs="Times New Roman"/>
          <w:color w:val="000000"/>
          <w:kern w:val="2"/>
          <w:sz w:val="32"/>
          <w:szCs w:val="32"/>
        </w:rPr>
        <w:t xml:space="preserve"> </w:t>
      </w:r>
      <w:r>
        <w:rPr>
          <w:rFonts w:ascii="Times New Roman" w:hAnsi="仿宋" w:eastAsia="仿宋" w:cs="Times New Roman"/>
          <w:color w:val="000000"/>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kern w:val="2"/>
          <w:sz w:val="32"/>
          <w:szCs w:val="32"/>
        </w:rPr>
        <w:t>第六条</w:t>
      </w:r>
      <w:r>
        <w:rPr>
          <w:rFonts w:ascii="Times New Roman" w:hAnsi="Times New Roman" w:eastAsia="仿宋" w:cs="Times New Roman"/>
          <w:color w:val="000000"/>
          <w:kern w:val="2"/>
          <w:sz w:val="32"/>
          <w:szCs w:val="32"/>
        </w:rPr>
        <w:t xml:space="preserve"> </w:t>
      </w:r>
      <w:r>
        <w:rPr>
          <w:rFonts w:ascii="Times New Roman" w:hAnsi="仿宋" w:eastAsia="仿宋" w:cs="Times New Roman"/>
          <w:color w:val="000000"/>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color w:val="000000"/>
          <w:kern w:val="2"/>
          <w:sz w:val="32"/>
          <w:szCs w:val="32"/>
        </w:rPr>
        <w:t>3</w:t>
      </w:r>
      <w:r>
        <w:rPr>
          <w:rFonts w:ascii="Times New Roman" w:hAnsi="仿宋" w:eastAsia="仿宋" w:cs="Times New Roman"/>
          <w:color w:val="000000"/>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律师服务费由律师事务所依约定收取并据实开具律师服务费发票，</w:t>
      </w:r>
      <w:r>
        <w:rPr>
          <w:rFonts w:ascii="Times New Roman" w:hAnsi="仿宋" w:eastAsia="仿宋" w:cs="Times New Roman"/>
          <w:color w:val="000000"/>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第二章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第一节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（一）代书、起草、审查修改合同或者其他法律文书、律师函、律师见证、代为声明、参加谈判、会议、主持调解等，可按件收费，每件</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—10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（二）担任国家机关、企事业单位、其他组织以及自然人的常年法律顾问，可按年度计件收费，每年度</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—40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（四）立法调研、起草或者修改法律法规、规范性文件、课题调研、清理规范性文件等，可按件收费，每件</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选择计时收费的，可按每位律师每小时</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元至</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color w:val="000000"/>
          <w:kern w:val="2"/>
          <w:sz w:val="32"/>
          <w:szCs w:val="32"/>
        </w:rPr>
      </w:pPr>
      <w:r>
        <w:rPr>
          <w:rFonts w:ascii="Times New Roman" w:hAnsi="仿宋" w:eastAsia="仿宋" w:cs="Times New Roman"/>
          <w:color w:val="000000"/>
          <w:sz w:val="32"/>
          <w:szCs w:val="32"/>
        </w:rPr>
        <w:t>计费工作时间是律师办理委托事项的有效工作时间，</w:t>
      </w:r>
      <w:r>
        <w:rPr>
          <w:rFonts w:ascii="Times New Roman" w:hAnsi="仿宋" w:eastAsia="仿宋" w:cs="Times New Roman"/>
          <w:color w:val="000000"/>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不涉及财产关系的法律事项选择按诉讼程序分阶段收费的，每个阶段可以在</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第二节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万元以下部分收费比例为</w:t>
      </w:r>
      <w:r>
        <w:rPr>
          <w:rFonts w:ascii="Times New Roman" w:hAnsi="Times New Roman" w:eastAsia="仿宋" w:cs="Times New Roman"/>
          <w:color w:val="000000"/>
          <w:sz w:val="32"/>
          <w:szCs w:val="32"/>
        </w:rPr>
        <w:t>6%-9%</w:t>
      </w:r>
      <w:r>
        <w:rPr>
          <w:rFonts w:ascii="Times New Roman" w:hAnsi="仿宋" w:eastAsia="仿宋" w:cs="Times New Roman"/>
          <w:color w:val="000000"/>
          <w:sz w:val="32"/>
          <w:szCs w:val="32"/>
        </w:rPr>
        <w:t>，最低不少于</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万元部分为</w:t>
      </w:r>
      <w:r>
        <w:rPr>
          <w:rFonts w:ascii="Times New Roman" w:hAnsi="Times New Roman" w:eastAsia="仿宋" w:cs="Times New Roman"/>
          <w:color w:val="000000"/>
          <w:sz w:val="32"/>
          <w:szCs w:val="32"/>
        </w:rPr>
        <w:t>4%-7%</w:t>
      </w:r>
      <w:r>
        <w:rPr>
          <w:rFonts w:ascii="Times New Roman" w:hAnsi="仿宋" w:eastAsia="仿宋" w:cs="Times New Roman"/>
          <w:color w:val="000000"/>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万元部分为</w:t>
      </w:r>
      <w:r>
        <w:rPr>
          <w:rFonts w:ascii="Times New Roman" w:hAnsi="Times New Roman" w:eastAsia="仿宋" w:cs="Times New Roman"/>
          <w:color w:val="000000"/>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万元以上部分，为</w:t>
      </w:r>
      <w:r>
        <w:rPr>
          <w:rFonts w:ascii="Times New Roman" w:hAnsi="Times New Roman" w:eastAsia="仿宋" w:cs="Times New Roman"/>
          <w:color w:val="000000"/>
          <w:sz w:val="32"/>
          <w:szCs w:val="32"/>
        </w:rPr>
        <w:t>1%-3%</w:t>
      </w:r>
      <w:r>
        <w:rPr>
          <w:rFonts w:ascii="Times New Roman" w:hAnsi="仿宋" w:eastAsia="仿宋" w:cs="Times New Roman"/>
          <w:color w:val="000000"/>
          <w:sz w:val="32"/>
          <w:szCs w:val="32"/>
        </w:rPr>
        <w:t>。</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的优惠。同时代理本诉、本请求和反诉、反请求案件的，反诉、反请求按标的额以民事诉讼案件一审阶段的收费标准酌减（酌减</w:t>
      </w:r>
      <w:r>
        <w:rPr>
          <w:rFonts w:ascii="Times New Roman" w:hAnsi="Times New Roman" w:eastAsia="仿宋" w:cs="Times New Roman"/>
          <w:color w:val="000000"/>
          <w:sz w:val="32"/>
          <w:szCs w:val="32"/>
        </w:rPr>
        <w:t>10%-50%</w:t>
      </w:r>
      <w:r>
        <w:rPr>
          <w:rFonts w:ascii="Times New Roman" w:hAnsi="仿宋" w:eastAsia="仿宋" w:cs="Times New Roman"/>
          <w:color w:val="000000"/>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第十五条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单独承办的执行案件，根据执行标的额，按一审阶段标准收费；曾承办一审或二审的案件，可按一审阶段收费标准优惠</w:t>
      </w:r>
      <w:r>
        <w:rPr>
          <w:rFonts w:ascii="Times New Roman" w:hAnsi="Times New Roman" w:eastAsia="仿宋" w:cs="Times New Roman"/>
          <w:color w:val="000000"/>
          <w:sz w:val="32"/>
          <w:szCs w:val="32"/>
        </w:rPr>
        <w:t>10%-30%</w:t>
      </w:r>
      <w:r>
        <w:rPr>
          <w:rFonts w:ascii="Times New Roman" w:hAnsi="仿宋" w:eastAsia="仿宋" w:cs="Times New Roman"/>
          <w:color w:val="000000"/>
          <w:sz w:val="32"/>
          <w:szCs w:val="32"/>
        </w:rPr>
        <w:t>收费，代理执行案件也可采用风险代理或计时收费。不能风险代理的事项除外。</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第三节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（一）标的额不足人民币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8%-18%</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（二）标的额在人民币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7%-15%</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（三）标的额在人民币</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6%-12%</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（四）标的额在人民币</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5%-9%</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（五）标的额在人民币</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万元以上的部分，按</w:t>
      </w:r>
      <w:r>
        <w:rPr>
          <w:rFonts w:ascii="Times New Roman" w:hAnsi="Times New Roman" w:eastAsia="仿宋" w:cs="Times New Roman"/>
          <w:color w:val="000000"/>
          <w:sz w:val="32"/>
          <w:szCs w:val="32"/>
        </w:rPr>
        <w:t>4%-6%</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第十七条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在订立风险代理合同过程中，律师或律师事务所应当按相关规定向委托人履行提示义务和告知义务</w:t>
      </w:r>
      <w:r>
        <w:rPr>
          <w:rFonts w:ascii="Times New Roman" w:hAnsi="仿宋" w:eastAsia="仿宋" w:cs="Times New Roman"/>
          <w:color w:val="000000"/>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第四节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第十八条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color w:val="000000"/>
          <w:sz w:val="32"/>
          <w:szCs w:val="32"/>
        </w:rPr>
      </w:pPr>
      <w:r>
        <w:rPr>
          <w:rFonts w:ascii="Times New Roman" w:hAnsi="仿宋" w:eastAsia="仿宋" w:cs="Times New Roman"/>
          <w:color w:val="000000"/>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侦查阶段：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审查起诉阶段：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一审阶段：</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二审阶段：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发回重审（一审阶段）：</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发回重审（二审阶段）：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代为提起刑事申诉：</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再审案件（一审阶段）：</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9.</w:t>
      </w:r>
      <w:r>
        <w:rPr>
          <w:rFonts w:ascii="Times New Roman" w:hAnsi="仿宋" w:eastAsia="仿宋" w:cs="Times New Roman"/>
          <w:color w:val="000000"/>
          <w:sz w:val="32"/>
          <w:szCs w:val="32"/>
        </w:rPr>
        <w:t>再审案件（二审阶段）：</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担任刑事案件自诉人、被害人的代理人：</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第二十一条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代理国家赔偿案件可实行计件收费，每件收取</w:t>
      </w:r>
      <w:r>
        <w:rPr>
          <w:rFonts w:ascii="Times New Roman" w:hAnsi="Times New Roman" w:eastAsia="仿宋" w:cs="Times New Roman"/>
          <w:color w:val="000000"/>
          <w:sz w:val="32"/>
          <w:szCs w:val="32"/>
        </w:rPr>
        <w:t>20,000</w:t>
      </w:r>
      <w:r>
        <w:rPr>
          <w:rFonts w:ascii="Times New Roman" w:hAnsi="仿宋" w:eastAsia="仿宋" w:cs="Times New Roman"/>
          <w:color w:val="000000"/>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第三章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第二十三条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选择计时收费的案件，如涉及涉外（含港、澳、台）案件及重大、疑难、复杂及律师工作量大的民事诉讼、仲裁案件，可以在计时收费标准中基础上再上浮不超过五倍收费。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涉外（含涉港、澳、台）案件的收费标准，原则上按照本收费标准上浮</w:t>
      </w:r>
      <w:r>
        <w:rPr>
          <w:rFonts w:ascii="Times New Roman" w:hAnsi="Times New Roman" w:eastAsia="仿宋" w:cs="Times New Roman"/>
          <w:color w:val="000000"/>
          <w:sz w:val="32"/>
          <w:szCs w:val="32"/>
        </w:rPr>
        <w:t>20%</w:t>
      </w:r>
      <w:r>
        <w:rPr>
          <w:rFonts w:ascii="Times New Roman" w:hAnsi="仿宋" w:eastAsia="仿宋" w:cs="Times New Roman"/>
          <w:color w:val="000000"/>
          <w:sz w:val="32"/>
          <w:szCs w:val="32"/>
        </w:rPr>
        <w:t>执行。如果涉及到多语种法律服务的，可以在标准基础上再上浮不超过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第二十五条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倍收费。下列案件为重大、疑难、复杂民事诉讼、仲裁案件：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由中级以上人民法院受理一审的案件；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当事人一方人数在</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人及</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人以上的共同诉讼案件；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取证困难的案件；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新类型案件；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涉及两个以上法律关系的案件；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代理民事申诉案件，按照代理民事诉讼案件按一审阶段收费标准</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倍收费；重大、疑难、复杂及律师工作量大的民事申诉案件可以上浮不超过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单独承办执行案件，如执行难度大，执行程序复杂的重大执行案件，按一审阶段收费标准</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办理异地、重大、疑难、复杂、社会影响较大的刑事诉讼案件，可以在本收费标准中刑事收费标准基础</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倍之内</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含</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协商确定收费。</w:t>
      </w:r>
    </w:p>
    <w:p>
      <w:pPr>
        <w:spacing w:line="520" w:lineRule="exact"/>
        <w:ind w:firstLine="643" w:firstLineChars="200"/>
        <w:jc w:val="left"/>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第二十九条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color w:val="000000"/>
          <w:kern w:val="0"/>
          <w:sz w:val="32"/>
          <w:szCs w:val="32"/>
        </w:rPr>
        <w:t>50%</w:t>
      </w:r>
      <w:r>
        <w:rPr>
          <w:rFonts w:ascii="Times New Roman" w:hAnsi="仿宋" w:eastAsia="仿宋" w:cs="Times New Roman"/>
          <w:color w:val="000000"/>
          <w:kern w:val="0"/>
          <w:sz w:val="32"/>
          <w:szCs w:val="32"/>
        </w:rPr>
        <w:t>至</w:t>
      </w:r>
      <w:r>
        <w:rPr>
          <w:rFonts w:ascii="Times New Roman" w:hAnsi="Times New Roman" w:eastAsia="仿宋" w:cs="Times New Roman"/>
          <w:color w:val="000000"/>
          <w:kern w:val="0"/>
          <w:sz w:val="32"/>
          <w:szCs w:val="32"/>
        </w:rPr>
        <w:t xml:space="preserve">3 </w:t>
      </w:r>
      <w:r>
        <w:rPr>
          <w:rFonts w:ascii="Times New Roman" w:hAnsi="仿宋" w:eastAsia="仿宋" w:cs="Times New Roman"/>
          <w:color w:val="000000"/>
          <w:kern w:val="0"/>
          <w:sz w:val="32"/>
          <w:szCs w:val="32"/>
        </w:rPr>
        <w:t>倍收费。</w:t>
      </w:r>
      <w:r>
        <w:rPr>
          <w:rFonts w:ascii="Times New Roman" w:hAnsi="Times New Roman" w:eastAsia="仿宋" w:cs="Times New Roman"/>
          <w:color w:val="000000"/>
          <w:kern w:val="0"/>
          <w:sz w:val="32"/>
          <w:szCs w:val="32"/>
        </w:rPr>
        <w:t xml:space="preserve">                                         </w:t>
      </w:r>
    </w:p>
    <w:p>
      <w:pPr>
        <w:widowControl/>
        <w:numPr>
          <w:ilvl w:val="0"/>
          <w:numId w:val="1"/>
        </w:numPr>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其他说明</w:t>
      </w:r>
    </w:p>
    <w:p>
      <w:pPr>
        <w:widowControl/>
        <w:spacing w:line="520" w:lineRule="exact"/>
        <w:ind w:firstLine="643" w:firstLineChars="200"/>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第三十条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第五章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附则</w:t>
      </w:r>
    </w:p>
    <w:p>
      <w:pPr>
        <w:widowControl/>
        <w:spacing w:line="520" w:lineRule="exact"/>
        <w:ind w:firstLine="643" w:firstLineChars="200"/>
        <w:jc w:val="left"/>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第三十五条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color w:val="000000"/>
          <w:kern w:val="0"/>
          <w:sz w:val="32"/>
          <w:szCs w:val="32"/>
        </w:rPr>
        <w:t>第三十六条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bookmarkStart w:id="0" w:name="_GoBack"/>
      <w:bookmarkEnd w:id="0"/>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740F9"/>
    <w:multiLevelType w:val="singleLevel"/>
    <w:tmpl w:val="440740F9"/>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667CC"/>
    <w:rsid w:val="001702D6"/>
    <w:rsid w:val="00176683"/>
    <w:rsid w:val="001A3E74"/>
    <w:rsid w:val="001B2CA9"/>
    <w:rsid w:val="002405F8"/>
    <w:rsid w:val="002644D8"/>
    <w:rsid w:val="0026763C"/>
    <w:rsid w:val="00287CA0"/>
    <w:rsid w:val="002A714E"/>
    <w:rsid w:val="002A728B"/>
    <w:rsid w:val="002B64F3"/>
    <w:rsid w:val="002B66A4"/>
    <w:rsid w:val="002E0982"/>
    <w:rsid w:val="002F49BF"/>
    <w:rsid w:val="002F571C"/>
    <w:rsid w:val="003517FF"/>
    <w:rsid w:val="003B4A86"/>
    <w:rsid w:val="00404C3D"/>
    <w:rsid w:val="004128C2"/>
    <w:rsid w:val="004C268B"/>
    <w:rsid w:val="004D1774"/>
    <w:rsid w:val="004D70C4"/>
    <w:rsid w:val="005245C8"/>
    <w:rsid w:val="00531628"/>
    <w:rsid w:val="00557E26"/>
    <w:rsid w:val="00567584"/>
    <w:rsid w:val="00607C41"/>
    <w:rsid w:val="00677DBB"/>
    <w:rsid w:val="006B2C17"/>
    <w:rsid w:val="006C311F"/>
    <w:rsid w:val="006C6CD7"/>
    <w:rsid w:val="006D6BB3"/>
    <w:rsid w:val="00751D1A"/>
    <w:rsid w:val="0076180A"/>
    <w:rsid w:val="007752D3"/>
    <w:rsid w:val="007B2EEE"/>
    <w:rsid w:val="007D09B9"/>
    <w:rsid w:val="008542A3"/>
    <w:rsid w:val="00887E0D"/>
    <w:rsid w:val="00892619"/>
    <w:rsid w:val="008C65AC"/>
    <w:rsid w:val="008F69B3"/>
    <w:rsid w:val="00912D78"/>
    <w:rsid w:val="00915DD7"/>
    <w:rsid w:val="009928C2"/>
    <w:rsid w:val="009B0D09"/>
    <w:rsid w:val="009B2BF1"/>
    <w:rsid w:val="009C08AA"/>
    <w:rsid w:val="00A40DB8"/>
    <w:rsid w:val="00A5775E"/>
    <w:rsid w:val="00A75AA1"/>
    <w:rsid w:val="00B718AA"/>
    <w:rsid w:val="00B96A7B"/>
    <w:rsid w:val="00BB26EC"/>
    <w:rsid w:val="00BF6BC4"/>
    <w:rsid w:val="00C31312"/>
    <w:rsid w:val="00C42A1D"/>
    <w:rsid w:val="00C86341"/>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D2942"/>
    <w:rsid w:val="00FE2E7F"/>
    <w:rsid w:val="1C42547C"/>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764</Words>
  <Characters>4356</Characters>
  <Lines>36</Lines>
  <Paragraphs>10</Paragraphs>
  <TotalTime>486</TotalTime>
  <ScaleCrop>false</ScaleCrop>
  <LinksUpToDate>false</LinksUpToDate>
  <CharactersWithSpaces>5110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2024-09-04T05:56:00Z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