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p>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54</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号）及省上相关规定，本会对四川豪迈律师事务所提交的《四川豪迈律师事务所律师服务收费标准》已审查完毕，相关内容符合相关规定，本会同意备案人的备案申请，该收费标准自备案之日起至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四川豪迈律师事务所律师服务收费标准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为规范本所律师服务收费行为，维护委托人和律师的合法权益，推进律师事业高质量发展，更好地满足新时代人民群众法律服务需求，根据国家、省相关法律法规及规范性文件的规定和要求，并结合本市、本所实际情况制定本收费标准。</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原则，结合法律事务难易程度、工作时间、参与人数、执业经验、风险责任、涉诉标的额等情况，根据本收费标准由委托人与律师事务所自愿平等协商，公平合理地确定收费方式和收费金额。</w:t>
      </w:r>
    </w:p>
    <w:p>
      <w:pPr>
        <w:pStyle w:val="6"/>
        <w:spacing w:beforeAutospacing="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律师事务所在提供法律服务过程中代委托人支付的诉讼费、仲裁费、鉴定费、公证费、查档费、保全费、翻译费等费用，不属于律师服务费，由委托人另行支付。</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w:t>
      </w:r>
      <w:r>
        <w:rPr>
          <w:rFonts w:ascii="Times New Roman" w:hAnsi="Times New Roman" w:eastAsia="仿宋" w:cs="Times New Roman"/>
          <w:kern w:val="2"/>
          <w:sz w:val="32"/>
          <w:szCs w:val="32"/>
        </w:rPr>
        <w:t>1</w:t>
      </w:r>
      <w:r>
        <w:rPr>
          <w:rFonts w:ascii="Times New Roman" w:hAnsi="仿宋" w:eastAsia="仿宋" w:cs="Times New Roman"/>
          <w:kern w:val="2"/>
          <w:sz w:val="32"/>
          <w:szCs w:val="32"/>
        </w:rPr>
        <w:t>）代理各类案件担任代理人、辩护人，起草相关法律文书，开展各类专项法律服务，担任法律顾问，接受法律咨询等法律业务。</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w:t>
      </w:r>
      <w:r>
        <w:rPr>
          <w:rFonts w:ascii="Times New Roman" w:hAnsi="Times New Roman" w:eastAsia="仿宋" w:cs="Times New Roman"/>
          <w:kern w:val="2"/>
          <w:sz w:val="32"/>
          <w:szCs w:val="32"/>
        </w:rPr>
        <w:t>2</w:t>
      </w:r>
      <w:r>
        <w:rPr>
          <w:rFonts w:ascii="Times New Roman" w:hAnsi="仿宋" w:eastAsia="仿宋" w:cs="Times New Roman"/>
          <w:kern w:val="2"/>
          <w:sz w:val="32"/>
          <w:szCs w:val="32"/>
        </w:rPr>
        <w:t>）律师从事其他与法律服务及法律培训相关的事务。</w:t>
      </w:r>
    </w:p>
    <w:p>
      <w:pPr>
        <w:pStyle w:val="6"/>
        <w:spacing w:beforeAutospacing="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律师服务收费按市场调节价执行，市场调节价可采用计件收费、计时收费、按标的额比例收费或风险代理收费方式，国家禁止风险代理的案件除外。</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Autospacing="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律师服务费的收费方式和收费金额，应由律师事务所与委托人签订相应的法律事务《委托代理合同》进行约定，律师服务费应由律师事务所统一收取、统一入账，律师个人不得向委托人收取律师服务费。</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收费目录和收费标准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（一）咨询、代书，按每件</w:t>
      </w:r>
      <w:r>
        <w:rPr>
          <w:rFonts w:ascii="Times New Roman" w:hAnsi="Times New Roman" w:eastAsia="仿宋" w:cs="Times New Roman"/>
          <w:sz w:val="32"/>
          <w:szCs w:val="32"/>
        </w:rPr>
        <w:t>100</w:t>
      </w:r>
      <w:r>
        <w:rPr>
          <w:rFonts w:ascii="Times New Roman" w:hAnsi="仿宋" w:eastAsia="仿宋" w:cs="Times New Roman"/>
          <w:sz w:val="32"/>
          <w:szCs w:val="32"/>
        </w:rPr>
        <w:t>元</w:t>
      </w:r>
      <w:r>
        <w:rPr>
          <w:rFonts w:ascii="Times New Roman" w:hAnsi="Times New Roman" w:eastAsia="仿宋" w:cs="Times New Roman"/>
          <w:sz w:val="32"/>
          <w:szCs w:val="32"/>
        </w:rPr>
        <w:t>—2000</w:t>
      </w:r>
      <w:r>
        <w:rPr>
          <w:rFonts w:ascii="Times New Roman" w:hAnsi="仿宋" w:eastAsia="仿宋" w:cs="Times New Roman"/>
          <w:sz w:val="32"/>
          <w:szCs w:val="32"/>
        </w:rPr>
        <w:t>元收取。</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对于上述计件收费情形，可视案件紧迫情况、复杂程度，合理上浮，上浮比例不超过上限的</w:t>
      </w:r>
      <w:r>
        <w:rPr>
          <w:rFonts w:ascii="Times New Roman" w:hAnsi="Times New Roman" w:eastAsia="仿宋" w:cs="Times New Roman"/>
          <w:sz w:val="32"/>
          <w:szCs w:val="32"/>
        </w:rPr>
        <w:t>30%</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5000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万元范围内收取律师服务费，可根据案件情况，合理上浮，上浮比例不超过上限的</w:t>
      </w:r>
      <w:r>
        <w:rPr>
          <w:rFonts w:ascii="Times New Roman" w:hAnsi="Times New Roman" w:eastAsia="仿宋" w:cs="Times New Roman"/>
          <w:sz w:val="32"/>
          <w:szCs w:val="32"/>
        </w:rPr>
        <w:t>30%</w:t>
      </w:r>
      <w:r>
        <w:rPr>
          <w:rFonts w:ascii="Times New Roman" w:hAnsi="仿宋" w:eastAsia="仿宋" w:cs="Times New Roman"/>
          <w:sz w:val="32"/>
          <w:szCs w:val="32"/>
        </w:rPr>
        <w:t>。</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涉及财产关系的按比例收费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涉及财产利益关系的法律事务，如系诉讼事务，则在每个独立的诉讼阶段（包括执行程序）中，可按案件争议标的额的一定比例分段累计收费，具体如下：</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7%—10%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5%—8%</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3%—6%;</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1%—4%</w:t>
      </w:r>
      <w:r>
        <w:rPr>
          <w:rFonts w:ascii="Times New Roman" w:hAnsi="仿宋" w:eastAsia="仿宋" w:cs="Times New Roman"/>
          <w:sz w:val="32"/>
          <w:szCs w:val="32"/>
        </w:rPr>
        <w:t>。</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本标准是代理民事诉讼案件（包括代理刑事附带民事诉讼部分的案件）一审阶段的收费标准。</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的优惠。同时代理本诉和反诉案件的，反诉案件按一审阶段的收费标准给予不超过</w:t>
      </w:r>
      <w:r>
        <w:rPr>
          <w:rFonts w:ascii="Times New Roman" w:hAnsi="Times New Roman" w:eastAsia="仿宋" w:cs="Times New Roman"/>
          <w:sz w:val="32"/>
          <w:szCs w:val="32"/>
        </w:rPr>
        <w:t>30%</w:t>
      </w:r>
      <w:r>
        <w:rPr>
          <w:rFonts w:ascii="Times New Roman" w:hAnsi="仿宋" w:eastAsia="仿宋" w:cs="Times New Roman"/>
          <w:sz w:val="32"/>
          <w:szCs w:val="32"/>
        </w:rPr>
        <w:t>的优惠。</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投资融资、改制上市、并购重组、破产清算、公司设立、公司治理结构设计、股权及债权债务转让等法律事务，参照本标准收费。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风险代理各个环节的收费按下列标准收取：</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10%—18%</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风险代理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刑事案件根据不同诉讼阶段，收费标准采取按一人一罪名执行。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w:t>
      </w:r>
      <w:r>
        <w:rPr>
          <w:rFonts w:ascii="Times New Roman" w:hAnsi="Times New Roman" w:eastAsia="仿宋" w:cs="Times New Roman"/>
          <w:sz w:val="32"/>
          <w:szCs w:val="32"/>
        </w:rPr>
        <w:t>10%-30%</w:t>
      </w:r>
      <w:r>
        <w:rPr>
          <w:rFonts w:ascii="Times New Roman" w:hAnsi="仿宋" w:eastAsia="仿宋" w:cs="Times New Roman"/>
          <w:sz w:val="32"/>
          <w:szCs w:val="32"/>
        </w:rPr>
        <w:t>优惠；</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（二）重审、申诉、再审，每件每阶段按照</w:t>
      </w:r>
      <w:r>
        <w:rPr>
          <w:rFonts w:ascii="Times New Roman" w:hAnsi="Times New Roman" w:eastAsia="仿宋" w:cs="Times New Roman"/>
          <w:sz w:val="32"/>
          <w:szCs w:val="32"/>
        </w:rPr>
        <w:t>2</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（三）案件涉及有财产及其他标的，参照本标准涉及财产关系按比例收费标准的规定执行。</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（四）担任刑事案件自诉人、被害人的代理人的，每件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万元，也可按收费标准中对应标的额的百分比进行收费。</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代理行政诉讼一审、二审、发回重审、复议、听证、申诉等案件的收费标准，参照本收费标准执行，但每件最低收费不少于</w:t>
      </w:r>
      <w:r>
        <w:rPr>
          <w:rFonts w:ascii="Times New Roman" w:hAnsi="Times New Roman" w:eastAsia="仿宋" w:cs="Times New Roman"/>
          <w:sz w:val="32"/>
          <w:szCs w:val="32"/>
        </w:rPr>
        <w:t>1</w:t>
      </w:r>
      <w:r>
        <w:rPr>
          <w:rFonts w:ascii="Times New Roman" w:hAnsi="仿宋" w:eastAsia="仿宋" w:cs="Times New Roman"/>
          <w:sz w:val="32"/>
          <w:szCs w:val="32"/>
        </w:rPr>
        <w:t>万元。</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其他不能采取风险代理的案件，按照本标准第十一条、第十二条的规定执行。</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第二十二条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本收费标准应当按照相关规定予以备案，并在所内显著位置予以公示，本所全体律师均应严格遵照执行，并接受社会监督。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第二十三条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本收费标准经德阳市律师协会备案登记后生效。</w:t>
      </w:r>
    </w:p>
    <w:p>
      <w:pPr>
        <w:widowControl/>
        <w:spacing w:line="520" w:lineRule="exact"/>
        <w:ind w:firstLine="640" w:firstLineChars="200"/>
        <w:jc w:val="left"/>
        <w:rPr>
          <w:rFonts w:ascii="Times New Roman" w:hAnsi="Times New Roman" w:eastAsia="仿宋" w:cs="Times New Roman"/>
          <w:kern w:val="0"/>
          <w:sz w:val="32"/>
          <w:szCs w:val="32"/>
        </w:rPr>
      </w:pPr>
    </w:p>
    <w:p>
      <w:pPr>
        <w:spacing w:line="520" w:lineRule="exact"/>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bookmarkStart w:id="0" w:name="_GoBack"/>
      <w:bookmarkEnd w:id="0"/>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仿宋" w:hAnsi="仿宋" w:eastAsia="仿宋" w:cs="方正仿宋_GBK"/>
          <w:sz w:val="32"/>
          <w:szCs w:val="32"/>
        </w:rPr>
      </w:pPr>
    </w:p>
    <w:p>
      <w:pPr>
        <w:spacing w:line="520" w:lineRule="exact"/>
        <w:ind w:right="640"/>
        <w:rPr>
          <w:rFonts w:ascii="仿宋" w:hAnsi="仿宋" w:eastAsia="仿宋"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0D3447"/>
    <w:rsid w:val="00150461"/>
    <w:rsid w:val="00163348"/>
    <w:rsid w:val="001702D6"/>
    <w:rsid w:val="00176683"/>
    <w:rsid w:val="001B2CA9"/>
    <w:rsid w:val="001B2FF3"/>
    <w:rsid w:val="002644D8"/>
    <w:rsid w:val="0026763C"/>
    <w:rsid w:val="002735FF"/>
    <w:rsid w:val="00287CA0"/>
    <w:rsid w:val="002A379D"/>
    <w:rsid w:val="002A714E"/>
    <w:rsid w:val="002A728B"/>
    <w:rsid w:val="002B64F3"/>
    <w:rsid w:val="002B66A4"/>
    <w:rsid w:val="002E0982"/>
    <w:rsid w:val="002E0CB1"/>
    <w:rsid w:val="002F185A"/>
    <w:rsid w:val="002F49BF"/>
    <w:rsid w:val="003517FF"/>
    <w:rsid w:val="003678F5"/>
    <w:rsid w:val="003B4A86"/>
    <w:rsid w:val="00404C3D"/>
    <w:rsid w:val="004128C2"/>
    <w:rsid w:val="004C268B"/>
    <w:rsid w:val="004D1463"/>
    <w:rsid w:val="004D1774"/>
    <w:rsid w:val="004D70C4"/>
    <w:rsid w:val="005245C8"/>
    <w:rsid w:val="00557E26"/>
    <w:rsid w:val="00567584"/>
    <w:rsid w:val="00677DBB"/>
    <w:rsid w:val="006C311F"/>
    <w:rsid w:val="006C6CD7"/>
    <w:rsid w:val="006D6BB3"/>
    <w:rsid w:val="0070164F"/>
    <w:rsid w:val="00751D1A"/>
    <w:rsid w:val="007752D3"/>
    <w:rsid w:val="007B2EEE"/>
    <w:rsid w:val="007D09B9"/>
    <w:rsid w:val="008542A3"/>
    <w:rsid w:val="00892619"/>
    <w:rsid w:val="008C65AC"/>
    <w:rsid w:val="00912D78"/>
    <w:rsid w:val="00915DD7"/>
    <w:rsid w:val="009928C2"/>
    <w:rsid w:val="009B0D09"/>
    <w:rsid w:val="009B2BF1"/>
    <w:rsid w:val="009C08AA"/>
    <w:rsid w:val="009F1E81"/>
    <w:rsid w:val="00A144CF"/>
    <w:rsid w:val="00A40DB8"/>
    <w:rsid w:val="00A5775E"/>
    <w:rsid w:val="00A75AA1"/>
    <w:rsid w:val="00B718AA"/>
    <w:rsid w:val="00BB26EC"/>
    <w:rsid w:val="00BF6BC4"/>
    <w:rsid w:val="00C31312"/>
    <w:rsid w:val="00C376AE"/>
    <w:rsid w:val="00C42A1D"/>
    <w:rsid w:val="00CA304F"/>
    <w:rsid w:val="00CB26F6"/>
    <w:rsid w:val="00CC30B4"/>
    <w:rsid w:val="00CE1660"/>
    <w:rsid w:val="00D0276C"/>
    <w:rsid w:val="00D23FC9"/>
    <w:rsid w:val="00D246FF"/>
    <w:rsid w:val="00D40349"/>
    <w:rsid w:val="00D94AA5"/>
    <w:rsid w:val="00DB72B0"/>
    <w:rsid w:val="00DC11B8"/>
    <w:rsid w:val="00E02452"/>
    <w:rsid w:val="00E53727"/>
    <w:rsid w:val="00E64635"/>
    <w:rsid w:val="00E7708B"/>
    <w:rsid w:val="00EA5D3A"/>
    <w:rsid w:val="00EF32BA"/>
    <w:rsid w:val="00F618B6"/>
    <w:rsid w:val="00F73074"/>
    <w:rsid w:val="00FB0721"/>
    <w:rsid w:val="00FE2E7F"/>
    <w:rsid w:val="221230C0"/>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489</Words>
  <Characters>2788</Characters>
  <Lines>23</Lines>
  <Paragraphs>6</Paragraphs>
  <TotalTime>561</TotalTime>
  <ScaleCrop>false</ScaleCrop>
  <LinksUpToDate>false</LinksUpToDate>
  <CharactersWithSpaces>3271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2024-09-03T07:30:55Z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