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p>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Times New Roman" w:hAnsi="Times New Roman" w:eastAsia="仿宋" w:cs="Times New Roman"/>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55</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号）及省上相关规定，本会对四川路炜路律师事务所提交的《四川路炜路律师事务所律师服务收费标准》已审查完毕，相关内容符合相关规定，本会同意备案人的备案申请，该收费标准自备案之日起至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四川路炜路律师事务所律师服务收费标准</w:t>
      </w:r>
    </w:p>
    <w:p>
      <w:pPr>
        <w:pStyle w:val="6"/>
        <w:spacing w:beforeAutospacing="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kern w:val="2"/>
          <w:sz w:val="32"/>
          <w:szCs w:val="32"/>
          <w:highlight w:val="red"/>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color w:val="000000" w:themeColor="text1"/>
          <w:sz w:val="32"/>
          <w:szCs w:val="32"/>
          <w:shd w:val="clear" w:color="auto" w:fill="FFFFFF" w:themeFill="background1"/>
        </w:rPr>
        <w:t>律师服务费是指</w:t>
      </w:r>
      <w:r>
        <w:rPr>
          <w:rFonts w:ascii="Times New Roman" w:hAnsi="仿宋" w:eastAsia="仿宋" w:cs="Times New Roman"/>
          <w:color w:val="000000" w:themeColor="text1"/>
          <w:kern w:val="2"/>
          <w:sz w:val="32"/>
          <w:szCs w:val="32"/>
          <w:shd w:val="clear" w:color="auto" w:fill="FFFFFF" w:themeFill="background1"/>
        </w:rPr>
        <w:t>律师事务所接受委托办理法律事务，向委托人收取的服务报酬。</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Autospacing="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Autospacing="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Autospacing="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Autospacing="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Autospacing="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元</w:t>
      </w:r>
      <w:r>
        <w:rPr>
          <w:rFonts w:ascii="Times New Roman" w:hAnsi="Times New Roman" w:eastAsia="仿宋" w:cs="Times New Roman"/>
          <w:color w:val="000000" w:themeColor="text1"/>
          <w:sz w:val="32"/>
          <w:szCs w:val="32"/>
        </w:rPr>
        <w:t>—10</w:t>
      </w:r>
      <w:r>
        <w:rPr>
          <w:rFonts w:ascii="Times New Roman" w:hAnsi="仿宋" w:eastAsia="仿宋" w:cs="Times New Roman"/>
          <w:sz w:val="32"/>
          <w:szCs w:val="32"/>
        </w:rPr>
        <w:t>万元。</w:t>
      </w:r>
    </w:p>
    <w:p>
      <w:pPr>
        <w:pStyle w:val="6"/>
        <w:spacing w:beforeAutospacing="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—50</w:t>
      </w:r>
      <w:r>
        <w:rPr>
          <w:rFonts w:ascii="Times New Roman" w:hAnsi="仿宋" w:eastAsia="仿宋" w:cs="Times New Roman"/>
          <w:sz w:val="32"/>
          <w:szCs w:val="32"/>
        </w:rPr>
        <w:t>万元。</w:t>
      </w:r>
    </w:p>
    <w:p>
      <w:pPr>
        <w:pStyle w:val="6"/>
        <w:spacing w:beforeAutospacing="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—40</w:t>
      </w:r>
      <w:r>
        <w:rPr>
          <w:rFonts w:ascii="Times New Roman" w:hAnsi="仿宋" w:eastAsia="仿宋" w:cs="Times New Roman"/>
          <w:sz w:val="32"/>
          <w:szCs w:val="32"/>
        </w:rPr>
        <w:t>万元。</w:t>
      </w:r>
    </w:p>
    <w:p>
      <w:pPr>
        <w:pStyle w:val="6"/>
        <w:spacing w:beforeAutospacing="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color w:val="000000" w:themeColor="text1"/>
          <w:sz w:val="32"/>
          <w:szCs w:val="32"/>
        </w:rPr>
        <w:t>万</w:t>
      </w:r>
      <w:r>
        <w:rPr>
          <w:rFonts w:ascii="Times New Roman" w:hAnsi="Times New Roman" w:eastAsia="仿宋" w:cs="Times New Roman"/>
          <w:color w:val="000000" w:themeColor="text1"/>
          <w:sz w:val="32"/>
          <w:szCs w:val="32"/>
        </w:rPr>
        <w:t>—50</w:t>
      </w:r>
      <w:r>
        <w:rPr>
          <w:rFonts w:ascii="Times New Roman" w:hAnsi="仿宋" w:eastAsia="仿宋" w:cs="Times New Roman"/>
          <w:color w:val="000000" w:themeColor="text1"/>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kern w:val="32"/>
          <w:sz w:val="32"/>
          <w:szCs w:val="32"/>
        </w:rPr>
        <w:t>第十条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选择计时收费的，可按每位律师每小</w:t>
      </w:r>
      <w:r>
        <w:rPr>
          <w:rFonts w:ascii="Times New Roman" w:hAnsi="仿宋" w:eastAsia="仿宋" w:cs="Times New Roman"/>
          <w:color w:val="000000" w:themeColor="text1"/>
          <w:kern w:val="32"/>
          <w:sz w:val="32"/>
          <w:szCs w:val="32"/>
        </w:rPr>
        <w:t>时</w:t>
      </w:r>
      <w:r>
        <w:rPr>
          <w:rFonts w:ascii="Times New Roman" w:hAnsi="Times New Roman" w:eastAsia="仿宋" w:cs="Times New Roman"/>
          <w:color w:val="000000" w:themeColor="text1"/>
          <w:kern w:val="32"/>
          <w:sz w:val="32"/>
          <w:szCs w:val="32"/>
        </w:rPr>
        <w:t>500</w:t>
      </w:r>
      <w:r>
        <w:rPr>
          <w:rFonts w:ascii="Times New Roman" w:hAnsi="仿宋" w:eastAsia="仿宋" w:cs="Times New Roman"/>
          <w:color w:val="000000" w:themeColor="text1"/>
          <w:kern w:val="32"/>
          <w:sz w:val="32"/>
          <w:szCs w:val="32"/>
        </w:rPr>
        <w:t>元至</w:t>
      </w:r>
      <w:r>
        <w:rPr>
          <w:rFonts w:ascii="Times New Roman" w:hAnsi="Times New Roman" w:eastAsia="仿宋" w:cs="Times New Roman"/>
          <w:color w:val="000000" w:themeColor="text1"/>
          <w:kern w:val="32"/>
          <w:sz w:val="32"/>
          <w:szCs w:val="32"/>
        </w:rPr>
        <w:t>6000</w:t>
      </w:r>
      <w:r>
        <w:rPr>
          <w:rFonts w:ascii="Times New Roman" w:hAnsi="仿宋" w:eastAsia="仿宋" w:cs="Times New Roman"/>
          <w:color w:val="000000" w:themeColor="text1"/>
          <w:kern w:val="32"/>
          <w:sz w:val="32"/>
          <w:szCs w:val="32"/>
        </w:rPr>
        <w:t>元收取律师服务费，承办律师为二人以上的，以</w:t>
      </w:r>
      <w:r>
        <w:rPr>
          <w:rFonts w:ascii="Times New Roman" w:hAnsi="仿宋" w:eastAsia="仿宋" w:cs="Times New Roman"/>
          <w:kern w:val="32"/>
          <w:sz w:val="32"/>
          <w:szCs w:val="32"/>
        </w:rPr>
        <w:t>各自的计费标准和计费工作时间分别计算。</w:t>
      </w:r>
    </w:p>
    <w:p>
      <w:pPr>
        <w:pStyle w:val="6"/>
        <w:spacing w:beforeAutospacing="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Autospacing="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w:t>
      </w:r>
      <w:r>
        <w:rPr>
          <w:rFonts w:ascii="Times New Roman" w:hAnsi="仿宋" w:eastAsia="仿宋" w:cs="Times New Roman"/>
          <w:sz w:val="32"/>
          <w:szCs w:val="32"/>
        </w:rPr>
        <w:t>范围内收取律师服务费。</w:t>
      </w:r>
    </w:p>
    <w:p>
      <w:pPr>
        <w:pStyle w:val="6"/>
        <w:spacing w:beforeAutospacing="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kern w:val="32"/>
          <w:sz w:val="32"/>
          <w:szCs w:val="32"/>
        </w:rPr>
        <w:t>第十三条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themeColor="text1"/>
          <w:kern w:val="32"/>
          <w:sz w:val="32"/>
          <w:szCs w:val="32"/>
        </w:rPr>
        <w:t>20%</w:t>
      </w:r>
      <w:r>
        <w:rPr>
          <w:rFonts w:ascii="Times New Roman" w:hAnsi="仿宋" w:eastAsia="仿宋" w:cs="Times New Roman"/>
          <w:kern w:val="32"/>
          <w:sz w:val="32"/>
          <w:szCs w:val="32"/>
        </w:rPr>
        <w:t>的优惠。同时代理本诉、本请求和反诉、反请求案件的，反诉、反请求收费按民事诉讼案件一审阶段的收费标准酌减</w:t>
      </w:r>
      <w:r>
        <w:rPr>
          <w:rFonts w:ascii="Times New Roman" w:hAnsi="Times New Roman" w:eastAsia="仿宋" w:cs="Times New Roman"/>
          <w:color w:val="000000" w:themeColor="text1"/>
          <w:kern w:val="32"/>
          <w:sz w:val="32"/>
          <w:szCs w:val="32"/>
        </w:rPr>
        <w:t>10%-20%</w:t>
      </w:r>
      <w:r>
        <w:rPr>
          <w:rFonts w:ascii="Times New Roman" w:hAnsi="仿宋" w:eastAsia="仿宋" w:cs="Times New Roman"/>
          <w:kern w:val="32"/>
          <w:sz w:val="32"/>
          <w:szCs w:val="32"/>
        </w:rPr>
        <w:t>。</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themeColor="text1"/>
          <w:sz w:val="32"/>
          <w:szCs w:val="32"/>
        </w:rPr>
        <w:t>20%-30%</w:t>
      </w:r>
      <w:r>
        <w:rPr>
          <w:rFonts w:ascii="Times New Roman" w:hAnsi="仿宋" w:eastAsia="仿宋" w:cs="Times New Roman"/>
          <w:color w:val="000000" w:themeColor="text1"/>
          <w:sz w:val="32"/>
          <w:szCs w:val="32"/>
        </w:rPr>
        <w:t>收</w:t>
      </w:r>
      <w:r>
        <w:rPr>
          <w:rFonts w:ascii="Times New Roman" w:hAnsi="仿宋" w:eastAsia="仿宋" w:cs="Times New Roman"/>
          <w:sz w:val="32"/>
          <w:szCs w:val="32"/>
        </w:rPr>
        <w:t>费，代理执行案件也可采用风险代理（不能采取风险代理的案件除外）或计时收费。</w:t>
      </w:r>
    </w:p>
    <w:p>
      <w:pPr>
        <w:pStyle w:val="6"/>
        <w:spacing w:beforeAutospacing="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发回重审（一审阶段）：</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发回重审（二审阶段）：</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万</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仿宋" w:eastAsia="仿宋" w:cs="Times New Roman"/>
          <w:color w:val="000000" w:themeColor="text1"/>
          <w:sz w:val="32"/>
          <w:szCs w:val="32"/>
        </w:rPr>
        <w:t>：</w:t>
      </w: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kern w:val="32"/>
          <w:sz w:val="32"/>
          <w:szCs w:val="32"/>
        </w:rPr>
        <w:t>8.</w:t>
      </w:r>
      <w:r>
        <w:rPr>
          <w:rFonts w:ascii="Times New Roman" w:hAnsi="仿宋" w:eastAsia="仿宋" w:cs="Times New Roman"/>
          <w:color w:val="000000" w:themeColor="text1"/>
          <w:kern w:val="32"/>
          <w:sz w:val="32"/>
          <w:szCs w:val="32"/>
        </w:rPr>
        <w:t>再审案件（一审阶段）：</w:t>
      </w:r>
      <w:r>
        <w:rPr>
          <w:rFonts w:ascii="Times New Roman" w:hAnsi="Times New Roman" w:eastAsia="仿宋" w:cs="Times New Roman"/>
          <w:color w:val="000000" w:themeColor="text1"/>
          <w:kern w:val="32"/>
          <w:sz w:val="32"/>
          <w:szCs w:val="32"/>
        </w:rPr>
        <w:t>5</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-20</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w:t>
      </w:r>
      <w:r>
        <w:rPr>
          <w:rFonts w:ascii="Times New Roman" w:hAnsi="仿宋" w:eastAsia="仿宋" w:cs="Times New Roman"/>
          <w:color w:val="000000" w:themeColor="text1"/>
          <w:kern w:val="32"/>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9.</w:t>
      </w:r>
      <w:r>
        <w:rPr>
          <w:rFonts w:ascii="Times New Roman" w:hAnsi="仿宋" w:eastAsia="仿宋" w:cs="Times New Roman"/>
          <w:color w:val="000000" w:themeColor="text1"/>
          <w:sz w:val="32"/>
          <w:szCs w:val="32"/>
        </w:rPr>
        <w:t>再审案件（二审阶段）：</w:t>
      </w: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color w:val="000000" w:themeColor="text1"/>
          <w:kern w:val="32"/>
          <w:sz w:val="32"/>
          <w:szCs w:val="32"/>
        </w:rPr>
        <w:t>担任刑事案件自诉人、被害人的代理人：</w:t>
      </w:r>
      <w:r>
        <w:rPr>
          <w:rFonts w:ascii="Times New Roman" w:hAnsi="Times New Roman" w:eastAsia="仿宋" w:cs="Times New Roman"/>
          <w:color w:val="000000" w:themeColor="text1"/>
          <w:kern w:val="32"/>
          <w:sz w:val="32"/>
          <w:szCs w:val="32"/>
        </w:rPr>
        <w:t>2</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-4</w:t>
      </w:r>
      <w:r>
        <w:rPr>
          <w:rFonts w:ascii="Times New Roman" w:hAnsi="仿宋" w:eastAsia="仿宋" w:cs="Times New Roman"/>
          <w:color w:val="000000" w:themeColor="text1"/>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kern w:val="32"/>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kern w:val="32"/>
          <w:sz w:val="32"/>
          <w:szCs w:val="32"/>
        </w:rPr>
        <w:t>第二十一条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代理国家赔偿案件可实行计件收费，每件收取</w:t>
      </w:r>
      <w:r>
        <w:rPr>
          <w:rFonts w:ascii="Times New Roman" w:hAnsi="Times New Roman" w:eastAsia="仿宋" w:cs="Times New Roman"/>
          <w:color w:val="000000" w:themeColor="text1"/>
          <w:kern w:val="32"/>
          <w:sz w:val="32"/>
          <w:szCs w:val="32"/>
        </w:rPr>
        <w:t>5</w:t>
      </w:r>
      <w:r>
        <w:rPr>
          <w:rFonts w:ascii="Times New Roman" w:hAnsi="仿宋" w:eastAsia="仿宋" w:cs="Times New Roman"/>
          <w:color w:val="000000" w:themeColor="text1"/>
          <w:kern w:val="32"/>
          <w:sz w:val="32"/>
          <w:szCs w:val="32"/>
        </w:rPr>
        <w:t>万元</w:t>
      </w:r>
      <w:r>
        <w:rPr>
          <w:rFonts w:ascii="Times New Roman" w:hAnsi="仿宋" w:eastAsia="仿宋" w:cs="Times New Roman"/>
          <w:kern w:val="32"/>
          <w:sz w:val="32"/>
          <w:szCs w:val="32"/>
        </w:rPr>
        <w:t>；也可按标的额的百分比进行收费（参照本标准中民事案件收费标准予以收取，由委托人与律师事务所协商确定，但律师事务所收取的服务费总金额不得低于相同标的额民事案件一审应当收取的费用）。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kern w:val="32"/>
          <w:sz w:val="32"/>
          <w:szCs w:val="32"/>
        </w:rPr>
        <w:t>第三章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color w:val="000000" w:themeColor="text1"/>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kern w:val="32"/>
          <w:sz w:val="32"/>
          <w:szCs w:val="32"/>
        </w:rPr>
        <w:t>第二十五条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(1)</w:t>
      </w:r>
      <w:r>
        <w:rPr>
          <w:rFonts w:ascii="Times New Roman" w:hAnsi="仿宋" w:eastAsia="仿宋" w:cs="Times New Roman"/>
          <w:kern w:val="32"/>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(2)</w:t>
      </w:r>
      <w:r>
        <w:rPr>
          <w:rFonts w:ascii="Times New Roman" w:hAnsi="仿宋" w:eastAsia="仿宋" w:cs="Times New Roman"/>
          <w:kern w:val="32"/>
          <w:sz w:val="32"/>
          <w:szCs w:val="32"/>
        </w:rPr>
        <w:t>当事人一方人数在</w:t>
      </w:r>
      <w:r>
        <w:rPr>
          <w:rFonts w:ascii="Times New Roman" w:hAnsi="Times New Roman" w:eastAsia="仿宋" w:cs="Times New Roman"/>
          <w:kern w:val="32"/>
          <w:sz w:val="32"/>
          <w:szCs w:val="32"/>
        </w:rPr>
        <w:t xml:space="preserve">3 </w:t>
      </w:r>
      <w:r>
        <w:rPr>
          <w:rFonts w:ascii="Times New Roman" w:hAnsi="仿宋" w:eastAsia="仿宋" w:cs="Times New Roman"/>
          <w:kern w:val="32"/>
          <w:sz w:val="32"/>
          <w:szCs w:val="32"/>
        </w:rPr>
        <w:t>人及</w:t>
      </w:r>
      <w:r>
        <w:rPr>
          <w:rFonts w:ascii="Times New Roman" w:hAnsi="Times New Roman" w:eastAsia="仿宋" w:cs="Times New Roman"/>
          <w:kern w:val="32"/>
          <w:sz w:val="32"/>
          <w:szCs w:val="32"/>
        </w:rPr>
        <w:t xml:space="preserve">3 </w:t>
      </w:r>
      <w:r>
        <w:rPr>
          <w:rFonts w:ascii="Times New Roman" w:hAnsi="仿宋" w:eastAsia="仿宋" w:cs="Times New Roman"/>
          <w:kern w:val="32"/>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(3)</w:t>
      </w:r>
      <w:r>
        <w:rPr>
          <w:rFonts w:ascii="Times New Roman" w:hAnsi="仿宋" w:eastAsia="仿宋" w:cs="Times New Roman"/>
          <w:kern w:val="32"/>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(4)</w:t>
      </w:r>
      <w:r>
        <w:rPr>
          <w:rFonts w:ascii="Times New Roman" w:hAnsi="仿宋" w:eastAsia="仿宋" w:cs="Times New Roman"/>
          <w:kern w:val="32"/>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(5)</w:t>
      </w:r>
      <w:r>
        <w:rPr>
          <w:rFonts w:ascii="Times New Roman" w:hAnsi="仿宋" w:eastAsia="仿宋" w:cs="Times New Roman"/>
          <w:kern w:val="32"/>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(6)</w:t>
      </w:r>
      <w:r>
        <w:rPr>
          <w:rFonts w:ascii="Times New Roman" w:hAnsi="仿宋" w:eastAsia="仿宋" w:cs="Times New Roman"/>
          <w:kern w:val="32"/>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(7)</w:t>
      </w:r>
      <w:r>
        <w:rPr>
          <w:rFonts w:ascii="Times New Roman" w:hAnsi="仿宋" w:eastAsia="仿宋" w:cs="Times New Roman"/>
          <w:kern w:val="32"/>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32"/>
          <w:sz w:val="32"/>
          <w:szCs w:val="32"/>
        </w:rPr>
        <w:t>(8)</w:t>
      </w:r>
      <w:r>
        <w:rPr>
          <w:rFonts w:ascii="Times New Roman" w:hAnsi="仿宋" w:eastAsia="仿宋" w:cs="Times New Roman"/>
          <w:kern w:val="32"/>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color w:val="000000" w:themeColor="text1"/>
          <w:sz w:val="32"/>
          <w:szCs w:val="32"/>
        </w:rPr>
        <w:t>3</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kern w:val="32"/>
          <w:sz w:val="32"/>
          <w:szCs w:val="32"/>
        </w:rPr>
        <w:t>第二十九条</w:t>
      </w:r>
      <w:r>
        <w:rPr>
          <w:rFonts w:ascii="Times New Roman" w:hAnsi="Times New Roman" w:eastAsia="仿宋" w:cs="Times New Roman"/>
          <w:b/>
          <w:bCs/>
          <w:kern w:val="32"/>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themeColor="text1"/>
          <w:kern w:val="0"/>
          <w:sz w:val="32"/>
          <w:szCs w:val="32"/>
        </w:rPr>
        <w:t>30%</w:t>
      </w:r>
      <w:r>
        <w:rPr>
          <w:rFonts w:ascii="Times New Roman" w:hAnsi="仿宋" w:eastAsia="仿宋" w:cs="Times New Roman"/>
          <w:color w:val="000000" w:themeColor="text1"/>
          <w:kern w:val="0"/>
          <w:sz w:val="32"/>
          <w:szCs w:val="32"/>
        </w:rPr>
        <w:t>至</w:t>
      </w:r>
      <w:r>
        <w:rPr>
          <w:rFonts w:ascii="Times New Roman" w:hAnsi="Times New Roman" w:eastAsia="仿宋" w:cs="Times New Roman"/>
          <w:color w:val="000000" w:themeColor="text1"/>
          <w:kern w:val="0"/>
          <w:sz w:val="32"/>
          <w:szCs w:val="32"/>
        </w:rPr>
        <w:t>5</w:t>
      </w:r>
      <w:r>
        <w:rPr>
          <w:rFonts w:ascii="Times New Roman" w:hAnsi="仿宋" w:eastAsia="仿宋" w:cs="Times New Roman"/>
          <w:color w:val="000000" w:themeColor="text1"/>
          <w:kern w:val="0"/>
          <w:sz w:val="32"/>
          <w:szCs w:val="32"/>
        </w:rPr>
        <w:t>倍</w:t>
      </w:r>
      <w:r>
        <w:rPr>
          <w:rFonts w:ascii="Times New Roman" w:hAnsi="仿宋" w:eastAsia="仿宋" w:cs="Times New Roman"/>
          <w:kern w:val="0"/>
          <w:sz w:val="32"/>
          <w:szCs w:val="32"/>
        </w:rPr>
        <w:t>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kern w:val="32"/>
          <w:sz w:val="32"/>
          <w:szCs w:val="32"/>
        </w:rPr>
        <w:t>第四章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kern w:val="32"/>
          <w:sz w:val="32"/>
          <w:szCs w:val="32"/>
        </w:rPr>
        <w:t>第三十一条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kern w:val="32"/>
          <w:sz w:val="32"/>
          <w:szCs w:val="32"/>
        </w:rPr>
        <w:t>第三十二条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kern w:val="32"/>
          <w:sz w:val="32"/>
          <w:szCs w:val="32"/>
        </w:rPr>
        <w:t>第三十三条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kern w:val="32"/>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kern w:val="32"/>
          <w:sz w:val="32"/>
          <w:szCs w:val="32"/>
        </w:rPr>
        <w:t>第三十四条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kern w:val="32"/>
          <w:sz w:val="32"/>
          <w:szCs w:val="32"/>
        </w:rPr>
        <w:t>第五章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spacing w:line="520" w:lineRule="exact"/>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0D3447"/>
    <w:rsid w:val="00150461"/>
    <w:rsid w:val="00163348"/>
    <w:rsid w:val="001702D6"/>
    <w:rsid w:val="00176683"/>
    <w:rsid w:val="001B2CA9"/>
    <w:rsid w:val="001B2FF3"/>
    <w:rsid w:val="002644D8"/>
    <w:rsid w:val="0026763C"/>
    <w:rsid w:val="002735FF"/>
    <w:rsid w:val="00287CA0"/>
    <w:rsid w:val="002A379D"/>
    <w:rsid w:val="002A714E"/>
    <w:rsid w:val="002A728B"/>
    <w:rsid w:val="002B64F3"/>
    <w:rsid w:val="002B66A4"/>
    <w:rsid w:val="002E0982"/>
    <w:rsid w:val="002F185A"/>
    <w:rsid w:val="002F49BF"/>
    <w:rsid w:val="003517FF"/>
    <w:rsid w:val="003678F5"/>
    <w:rsid w:val="003B4A86"/>
    <w:rsid w:val="00404C3D"/>
    <w:rsid w:val="004128C2"/>
    <w:rsid w:val="004C268B"/>
    <w:rsid w:val="004D1463"/>
    <w:rsid w:val="004D1774"/>
    <w:rsid w:val="004D70C4"/>
    <w:rsid w:val="005245C8"/>
    <w:rsid w:val="00557E26"/>
    <w:rsid w:val="00567584"/>
    <w:rsid w:val="00677DBB"/>
    <w:rsid w:val="006819C5"/>
    <w:rsid w:val="006C311F"/>
    <w:rsid w:val="006C6CD7"/>
    <w:rsid w:val="006D6BB3"/>
    <w:rsid w:val="0070164F"/>
    <w:rsid w:val="00715B00"/>
    <w:rsid w:val="00751D1A"/>
    <w:rsid w:val="007752D3"/>
    <w:rsid w:val="007B2EEE"/>
    <w:rsid w:val="007D09B9"/>
    <w:rsid w:val="008226AD"/>
    <w:rsid w:val="008243F8"/>
    <w:rsid w:val="008542A3"/>
    <w:rsid w:val="00892619"/>
    <w:rsid w:val="008C65AC"/>
    <w:rsid w:val="00912D78"/>
    <w:rsid w:val="00915DD7"/>
    <w:rsid w:val="009928C2"/>
    <w:rsid w:val="009B0D09"/>
    <w:rsid w:val="009B2BF1"/>
    <w:rsid w:val="009B2F62"/>
    <w:rsid w:val="009C08AA"/>
    <w:rsid w:val="009F1E81"/>
    <w:rsid w:val="00A144CF"/>
    <w:rsid w:val="00A40DB8"/>
    <w:rsid w:val="00A5775E"/>
    <w:rsid w:val="00A75AA1"/>
    <w:rsid w:val="00B718AA"/>
    <w:rsid w:val="00BB26EC"/>
    <w:rsid w:val="00BF6BC4"/>
    <w:rsid w:val="00C31312"/>
    <w:rsid w:val="00C42A1D"/>
    <w:rsid w:val="00CA304F"/>
    <w:rsid w:val="00CB26F6"/>
    <w:rsid w:val="00CE1660"/>
    <w:rsid w:val="00D0276C"/>
    <w:rsid w:val="00D23FC9"/>
    <w:rsid w:val="00D246FF"/>
    <w:rsid w:val="00D40349"/>
    <w:rsid w:val="00D91ED2"/>
    <w:rsid w:val="00D94AA5"/>
    <w:rsid w:val="00DB72B0"/>
    <w:rsid w:val="00DC11B8"/>
    <w:rsid w:val="00DD7403"/>
    <w:rsid w:val="00E02452"/>
    <w:rsid w:val="00E53727"/>
    <w:rsid w:val="00E64635"/>
    <w:rsid w:val="00E7708B"/>
    <w:rsid w:val="00EA5D3A"/>
    <w:rsid w:val="00EF32BA"/>
    <w:rsid w:val="00F618B6"/>
    <w:rsid w:val="00F73074"/>
    <w:rsid w:val="00F83585"/>
    <w:rsid w:val="00F97E09"/>
    <w:rsid w:val="00FB0721"/>
    <w:rsid w:val="00FE2E7F"/>
    <w:rsid w:val="396664A7"/>
    <w:rsid w:val="53992205"/>
    <w:rsid w:val="5CBF615D"/>
    <w:rsid w:val="5E7CB07C"/>
    <w:rsid w:val="5F330C0D"/>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757</Words>
  <Characters>4321</Characters>
  <Lines>36</Lines>
  <Paragraphs>10</Paragraphs>
  <TotalTime>570</TotalTime>
  <ScaleCrop>false</ScaleCrop>
  <LinksUpToDate>false</LinksUpToDate>
  <CharactersWithSpaces>5068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2024-09-03T07:27:55Z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